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left="0"/>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5"/>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4"/>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1004"/>
        <w:rPr>
          <w:rFonts w:hint="eastAsia" w:ascii="宋体" w:hAnsi="宋体" w:cs="宋体"/>
          <w:color w:val="auto"/>
          <w:highlight w:val="none"/>
        </w:rPr>
      </w:pPr>
      <w:r>
        <w:rPr>
          <w:rFonts w:hint="eastAsia" w:ascii="宋体" w:hAnsi="宋体" w:cs="宋体"/>
          <w:color w:val="auto"/>
          <w:highlight w:val="none"/>
        </w:rPr>
      </w:r>
      <w:r/>
    </w:p>
    <w:p>
      <w:pPr>
        <w:pStyle w:val="1004"/>
        <w:ind w:left="0"/>
        <w:rPr>
          <w:rFonts w:hint="eastAsia" w:ascii="宋体" w:hAnsi="宋体" w:cs="宋体"/>
          <w:color w:val="auto"/>
          <w:highlight w:val="none"/>
        </w:rPr>
      </w:pPr>
      <w:r>
        <w:rPr>
          <w:rFonts w:hint="eastAsia" w:ascii="宋体" w:hAnsi="宋体" w:cs="宋体"/>
          <w:color w:val="auto"/>
          <w:highlight w:val="none"/>
        </w:rPr>
      </w:r>
      <w:r/>
    </w:p>
    <w:p>
      <w:pPr>
        <w:pStyle w:val="1005"/>
        <w:rPr>
          <w:rFonts w:hint="eastAsia" w:ascii="宋体" w:hAnsi="宋体" w:cs="宋体"/>
          <w:color w:val="auto"/>
          <w:highlight w:val="none"/>
        </w:rPr>
      </w:pPr>
      <w:r>
        <w:rPr>
          <w:rFonts w:hint="eastAsia" w:ascii="宋体" w:hAnsi="宋体" w:cs="宋体"/>
          <w:color w:val="auto"/>
          <w:highlight w:val="none"/>
        </w:rPr>
      </w:r>
      <w:r/>
    </w:p>
    <w:p>
      <w:pPr>
        <w:pStyle w:val="1005"/>
        <w:rPr>
          <w:rFonts w:hint="eastAsia" w:ascii="宋体" w:hAnsi="宋体" w:cs="宋体"/>
          <w:color w:val="auto"/>
          <w:highlight w:val="none"/>
        </w:rPr>
      </w:pPr>
      <w:r>
        <w:rPr>
          <w:rFonts w:hint="eastAsia" w:ascii="宋体" w:hAnsi="宋体" w:cs="宋体"/>
          <w:color w:val="auto"/>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806"/>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JSZC-320312-HWZX-C2025-0724</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806"/>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铜山区2025年度河道堤防、小水库白蚁</w:t>
      </w:r>
      <w:r/>
    </w:p>
    <w:p>
      <w:pPr>
        <w:ind w:firstLine="2403"/>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等害堤动物检查服务</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787"/>
        <w:spacing w:line="360" w:lineRule="auto"/>
        <w:rPr>
          <w:rFonts w:hint="eastAsia" w:ascii="宋体" w:hAnsi="宋体" w:cs="宋体"/>
          <w:b/>
          <w:bCs/>
          <w:color w:val="auto"/>
          <w:sz w:val="32"/>
          <w:highlight w:val="none"/>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徐州市铜山区水务局</w:t>
      </w:r>
      <w:r/>
    </w:p>
    <w:p>
      <w:pPr>
        <w:pStyle w:val="1004"/>
        <w:ind w:left="0"/>
        <w:rPr>
          <w:rFonts w:hint="eastAsia" w:ascii="宋体" w:hAnsi="宋体" w:cs="宋体"/>
          <w:color w:val="auto"/>
          <w:sz w:val="44"/>
          <w:highlight w:val="none"/>
        </w:rPr>
      </w:pPr>
      <w:r>
        <w:rPr>
          <w:rFonts w:hint="eastAsia" w:ascii="宋体" w:hAnsi="宋体" w:cs="宋体"/>
          <w:color w:val="auto"/>
          <w:sz w:val="44"/>
          <w:highlight w:val="none"/>
        </w:rPr>
      </w:r>
      <w:r/>
    </w:p>
    <w:p>
      <w:pPr>
        <w:pStyle w:val="1005"/>
        <w:rPr>
          <w:rFonts w:hint="eastAsia"/>
          <w:color w:val="auto"/>
          <w:highlight w:val="none"/>
        </w:rPr>
      </w:pPr>
      <w:r>
        <w:rPr>
          <w:rFonts w:hint="eastAsia"/>
          <w:color w:val="auto"/>
          <w:highlight w:val="none"/>
        </w:rPr>
      </w:r>
      <w:r/>
    </w:p>
    <w:p>
      <w:pPr>
        <w:pStyle w:val="1005"/>
        <w:rPr>
          <w:rFonts w:hint="eastAsia"/>
          <w:color w:val="auto"/>
          <w:highlight w:val="none"/>
        </w:rPr>
      </w:pPr>
      <w:r>
        <w:rPr>
          <w:rFonts w:hint="eastAsia"/>
          <w:color w:val="auto"/>
          <w:highlight w:val="none"/>
        </w:rPr>
      </w:r>
      <w:r/>
    </w:p>
    <w:p>
      <w:pPr>
        <w:pStyle w:val="1005"/>
        <w:rPr>
          <w:rFonts w:hint="eastAsia"/>
          <w:color w:val="auto"/>
          <w:highlight w:val="none"/>
        </w:rPr>
      </w:pPr>
      <w:r>
        <w:rPr>
          <w:rFonts w:hint="eastAsia"/>
          <w:color w:val="auto"/>
          <w:highlight w:val="none"/>
        </w:rPr>
      </w:r>
      <w:r/>
    </w:p>
    <w:p>
      <w:pPr>
        <w:pStyle w:val="1013"/>
        <w:rPr>
          <w:rFonts w:hint="eastAsia" w:ascii="宋体" w:hAnsi="宋体" w:cs="宋体"/>
          <w:color w:val="auto"/>
          <w:highlight w:val="none"/>
        </w:rPr>
      </w:pPr>
      <w:r>
        <w:rPr>
          <w:rFonts w:hint="eastAsia" w:ascii="宋体" w:hAnsi="宋体" w:cs="宋体"/>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right="-159" w:firstLine="1440"/>
        <w:spacing w:line="300" w:lineRule="auto"/>
        <w:rPr>
          <w:rFonts w:hint="eastAsia" w:ascii="宋体" w:hAnsi="宋体" w:cs="宋体"/>
          <w:color w:val="auto"/>
          <w:sz w:val="44"/>
          <w:highlight w:val="none"/>
        </w:rPr>
      </w:pPr>
      <w:r>
        <w:rPr>
          <w:rFonts w:hint="eastAsia" w:ascii="宋体" w:hAnsi="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1783715</wp:posOffset>
                </wp:positionH>
                <wp:positionV relativeFrom="paragraph">
                  <wp:posOffset>149860</wp:posOffset>
                </wp:positionV>
                <wp:extent cx="1363980" cy="541020"/>
                <wp:effectExtent l="0" t="0" r="7620" b="7620"/>
                <wp:wrapSquare wrapText="bothSides"/>
                <wp:docPr id="7"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0"/>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140.4pt;mso-position-horizontal:absolute;mso-position-vertical-relative:text;margin-top:11.8pt;mso-position-vertical:absolute;width:107.4pt;height:42.6pt;mso-wrap-distance-left:9.0pt;mso-wrap-distance-top:0.0pt;mso-wrap-distance-right:9.0pt;mso-wrap-distance-bottom:0.0pt;" stroked="f">
                <v:path textboxrect="0,0,0,0"/>
                <w10:wrap type="square"/>
                <v:imagedata r:id="rId20" o:title=""/>
              </v:shape>
            </w:pict>
          </mc:Fallback>
        </mc:AlternateContent>
      </w:r>
      <w:r/>
    </w:p>
    <w:p>
      <w:pPr>
        <w:ind w:right="-159" w:firstLine="2112"/>
        <w:spacing w:line="30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w:t>
      </w:r>
      <w:r>
        <w:rPr>
          <w:rFonts w:hint="eastAsia" w:ascii="宋体" w:hAnsi="宋体" w:cs="宋体"/>
          <w:bCs/>
          <w:color w:val="auto"/>
          <w:sz w:val="30"/>
          <w:highlight w:val="none"/>
          <w:lang w:val="en-US" w:eastAsia="zh-CN"/>
        </w:rPr>
        <w:t xml:space="preserve">五</w:t>
      </w:r>
      <w:r>
        <w:rPr>
          <w:rFonts w:hint="eastAsia" w:ascii="宋体" w:hAnsi="宋体" w:cs="宋体"/>
          <w:bCs/>
          <w:color w:val="auto"/>
          <w:sz w:val="30"/>
          <w:highlight w:val="none"/>
        </w:rPr>
        <w:t xml:space="preserve">年</w:t>
      </w:r>
      <w:r>
        <w:rPr>
          <w:rFonts w:hint="eastAsia" w:ascii="宋体" w:hAnsi="宋体" w:cs="宋体"/>
          <w:bCs/>
          <w:color w:val="auto"/>
          <w:sz w:val="30"/>
          <w:highlight w:val="none"/>
          <w:lang w:val="en-US" w:eastAsia="zh-CN"/>
        </w:rPr>
        <w:t xml:space="preserve">十</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0" w:lineRule="atLeast"/>
        <w:rPr>
          <w:rFonts w:hint="eastAsia" w:ascii="宋体" w:hAnsi="宋体" w:cs="宋体"/>
          <w:b/>
          <w:color w:val="auto"/>
          <w:sz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b/>
          <w:bCs/>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color w:val="auto"/>
          <w:sz w:val="24"/>
          <w:highlight w:val="none"/>
          <w:lang w:eastAsia="zh-CN"/>
        </w:rPr>
        <w:t xml:space="preserve">JSZC-320312-HWZX-C2025-0724</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97"/>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铜山区2025年度河道堤防、小水库白蚁等害堤动物检查服务</w:t>
      </w:r>
      <w:r>
        <w:rPr>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numPr>
          <w:ilvl w:val="0"/>
          <w:numId w:val="2"/>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徐州市铜山区水务局</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铜山区2025年度河道堤防、小水库白蚁等害堤动物检查服务</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JSZC-320312-HWZX-C2025-0724</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八、采购需求：</w:t>
      </w:r>
      <w:r>
        <w:rPr>
          <w:rFonts w:hint="eastAsia" w:ascii="宋体" w:hAnsi="宋体" w:cs="宋体"/>
          <w:color w:val="auto"/>
          <w:sz w:val="24"/>
          <w:highlight w:val="none"/>
        </w:rPr>
        <w:t xml:space="preserve">见《磋商文件》附件2、《项目要求（采购需求）》。</w:t>
      </w:r>
      <w:r/>
    </w:p>
    <w:p>
      <w:pPr>
        <w:spacing w:line="360" w:lineRule="auto"/>
        <w:rPr>
          <w:rFonts w:hint="eastAsia" w:ascii="宋体" w:hAnsi="宋体" w:cs="宋体"/>
          <w:color w:val="auto"/>
          <w:sz w:val="24"/>
          <w:highlight w:val="none"/>
          <w:shd w:val="clear" w:color="auto"/>
        </w:rPr>
      </w:pPr>
      <w:r>
        <w:rPr>
          <w:rFonts w:hint="eastAsia" w:ascii="宋体" w:hAnsi="宋体" w:cs="宋体"/>
          <w:b/>
          <w:bCs/>
          <w:color w:val="auto"/>
          <w:sz w:val="24"/>
          <w:highlight w:val="none"/>
        </w:rPr>
        <w:t xml:space="preserve">九、拟签订的合同文本：</w:t>
      </w:r>
      <w:r>
        <w:rPr>
          <w:rFonts w:hint="eastAsia" w:ascii="宋体" w:hAnsi="宋体" w:cs="宋体"/>
          <w:color w:val="auto"/>
          <w:sz w:val="24"/>
          <w:highlight w:val="none"/>
        </w:rPr>
        <w:t xml:space="preserve">见《磋商文件》附件</w:t>
      </w:r>
      <w:r>
        <w:rPr>
          <w:rFonts w:hint="eastAsia" w:ascii="宋体" w:hAnsi="宋体" w:cs="宋体"/>
          <w:color w:val="auto"/>
          <w:sz w:val="24"/>
          <w:highlight w:val="none"/>
          <w:shd w:val="clear" w:color="auto"/>
        </w:rPr>
        <w:t xml:space="preserve">6、《</w:t>
      </w:r>
      <w:r>
        <w:rPr>
          <w:rFonts w:hint="eastAsia" w:ascii="宋体" w:hAnsi="宋体" w:cs="宋体"/>
          <w:color w:val="auto"/>
          <w:sz w:val="24"/>
          <w:highlight w:val="none"/>
          <w:shd w:val="clear" w:color="auto"/>
          <w:lang w:val="en-US" w:eastAsia="zh-CN"/>
        </w:rPr>
        <w:t xml:space="preserve">拟签订的合同文本</w:t>
      </w:r>
      <w:r>
        <w:rPr>
          <w:rFonts w:hint="eastAsia" w:ascii="宋体" w:hAnsi="宋体" w:cs="宋体"/>
          <w:color w:val="auto"/>
          <w:sz w:val="24"/>
          <w:highlight w:val="none"/>
          <w:shd w:val="clear" w:color="auto"/>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“苏采云”系统使用要求：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1、使用谷歌浏览器参与不见面开标及磋商环节。</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2、电脑需提前准备好麦克风、音响，摄像头，提前检查保证能够正常使用。</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3、操作系统至少win7以上，建议使用win10操作系统。</w:t>
      </w:r>
      <w:r/>
    </w:p>
    <w:p>
      <w:pPr>
        <w:pStyle w:val="101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w:t>
      </w:r>
      <w:r>
        <w:rPr>
          <w:rFonts w:hint="eastAsia" w:ascii="宋体" w:hAnsi="宋体" w:cs="宋体"/>
          <w:b/>
          <w:bCs/>
          <w:color w:val="auto"/>
          <w:sz w:val="24"/>
          <w:highlight w:val="none"/>
          <w:lang w:eastAsia="zh-CN"/>
        </w:rPr>
        <w:t xml:space="preserve">2025年</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lang w:eastAsia="zh-CN"/>
        </w:rPr>
        <w:t xml:space="preserve">月10</w:t>
      </w:r>
      <w:r>
        <w:rPr>
          <w:rFonts w:hint="eastAsia" w:ascii="宋体" w:hAnsi="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上午10</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00</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在截止时间后提交的首次响应文件为无效文件，将被拒收。</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eastAsia="zh-CN"/>
        </w:rPr>
        <w:t xml:space="preserve">2025年</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lang w:eastAsia="zh-CN"/>
        </w:rPr>
        <w:t xml:space="preserve">月10</w:t>
      </w:r>
      <w:r>
        <w:rPr>
          <w:rFonts w:hint="eastAsia" w:ascii="宋体" w:hAnsi="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上午10</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00</w:t>
      </w:r>
      <w:r>
        <w:rPr>
          <w:rFonts w:hint="eastAsia" w:ascii="宋体" w:hAnsi="宋体" w:cs="宋体"/>
          <w:b/>
          <w:bCs/>
          <w:color w:val="auto"/>
          <w:sz w:val="24"/>
          <w:highlight w:val="none"/>
        </w:rPr>
        <w:t xml:space="preserve">）前。</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auto"/>
          <w:sz w:val="24"/>
          <w:highlight w:val="none"/>
          <w:lang w:eastAsia="zh-CN"/>
        </w:rPr>
        <w:t xml:space="preserve">2025年</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lang w:eastAsia="zh-CN"/>
        </w:rPr>
        <w:t xml:space="preserve">月10</w:t>
      </w:r>
      <w:r>
        <w:rPr>
          <w:rFonts w:hint="eastAsia" w:ascii="宋体" w:hAnsi="宋体" w:cs="宋体"/>
          <w:b/>
          <w:bCs/>
          <w:color w:val="auto"/>
          <w:sz w:val="24"/>
          <w:highlight w:val="none"/>
          <w:lang w:eastAsia="zh-CN"/>
        </w:rPr>
        <w:t xml:space="preserve">日</w:t>
      </w:r>
      <w:r>
        <w:rPr>
          <w:rFonts w:hint="eastAsia" w:ascii="宋体" w:hAnsi="宋体" w:cs="宋体"/>
          <w:b/>
          <w:bCs/>
          <w:color w:val="auto"/>
          <w:sz w:val="24"/>
          <w:highlight w:val="none"/>
          <w:lang w:val="en-US" w:eastAsia="zh-CN"/>
        </w:rPr>
        <w:t xml:space="preserve">上午10</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0。</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01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0"/>
        <w:jc w:val="left"/>
        <w:spacing w:line="360" w:lineRule="auto"/>
        <w:shd w:val="clear" w:color="auto"/>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01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1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1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（十）相关说明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供应商在“苏采云”系统中提交首次响应文件的时间即为数据电文（响应文件，下同）的发送时间和接收时间。</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101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1010"/>
        <w:ind w:firstLine="480"/>
        <w:spacing w:line="360" w:lineRule="auto"/>
        <w:rPr>
          <w:rFonts w:hint="eastAsia" w:ascii="宋体" w:hAnsi="宋体" w:cs="宋体"/>
          <w:bCs/>
          <w:color w:val="auto"/>
          <w:sz w:val="24"/>
          <w:highlight w:val="none"/>
        </w:rPr>
      </w:pPr>
      <w:r>
        <w:rPr>
          <w:rFonts w:hint="eastAsia" w:ascii="宋体" w:hAnsi="宋体" w:cs="宋体"/>
          <w:b/>
          <w:bCs w:val="0"/>
          <w:color w:val="auto"/>
          <w:sz w:val="24"/>
          <w:highlight w:val="none"/>
        </w:rPr>
        <w:t xml:space="preserve">1、《磋商报价表》</w:t>
      </w:r>
      <w:r>
        <w:rPr>
          <w:rFonts w:hint="eastAsia" w:ascii="宋体" w:hAnsi="宋体" w:cs="宋体"/>
          <w:color w:val="auto"/>
          <w:sz w:val="24"/>
          <w:highlight w:val="none"/>
        </w:rPr>
        <w:t xml:space="preserve">（加盖电子签章，格式见《磋商文件》附件。</w:t>
      </w:r>
      <w:r>
        <w:rPr>
          <w:rFonts w:hint="eastAsia" w:ascii="宋体" w:hAnsi="宋体" w:cs="宋体"/>
          <w:bCs/>
          <w:color w:val="auto"/>
          <w:sz w:val="24"/>
          <w:highlight w:val="none"/>
        </w:rPr>
        <w:t xml:space="preserve">政府采购客户端工具输入报价自动生成）；</w:t>
      </w:r>
      <w:r/>
    </w:p>
    <w:p>
      <w:pPr>
        <w:pStyle w:val="1010"/>
        <w:ind w:firstLine="480"/>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2、授权委托书（提供</w:t>
      </w:r>
      <w:r>
        <w:rPr>
          <w:rFonts w:hint="eastAsia" w:ascii="宋体" w:hAnsi="宋体" w:cs="宋体"/>
          <w:b/>
          <w:color w:val="auto"/>
          <w:sz w:val="24"/>
          <w:highlight w:val="none"/>
          <w:lang w:eastAsia="zh-CN"/>
        </w:rPr>
        <w:t xml:space="preserve">原件的扫描件（彩色）</w:t>
      </w:r>
      <w:r>
        <w:rPr>
          <w:rFonts w:hint="eastAsia" w:ascii="宋体" w:hAnsi="宋体" w:cs="宋体"/>
          <w:b/>
          <w:color w:val="auto"/>
          <w:sz w:val="24"/>
          <w:highlight w:val="none"/>
        </w:rPr>
        <w:t xml:space="preserve">，格式见《磋商文件》附件）；</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3、授权委托书中受托人身份证</w:t>
      </w:r>
      <w:r>
        <w:rPr>
          <w:rFonts w:hint="eastAsia" w:ascii="宋体" w:hAnsi="宋体" w:cs="宋体"/>
          <w:b/>
          <w:bCs/>
          <w:color w:val="auto"/>
          <w:sz w:val="24"/>
          <w:highlight w:val="none"/>
          <w:lang w:eastAsia="zh-CN"/>
        </w:rPr>
        <w:t xml:space="preserve">原件的扫描件（彩色）</w:t>
      </w:r>
      <w:r>
        <w:rPr>
          <w:rFonts w:hint="eastAsia" w:ascii="宋体" w:hAnsi="宋体" w:cs="宋体"/>
          <w:b/>
          <w:bCs/>
          <w:color w:val="auto"/>
          <w:sz w:val="24"/>
          <w:highlight w:val="none"/>
        </w:rPr>
        <w:t xml:space="preserve">；</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4、供应商认为需要提供的其他资料的扫描件（如有）。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right="-334"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000000" w:themeColor="text1"/>
          <w:sz w:val="24"/>
          <w:highlight w:val="none"/>
          <w14:textFill>
            <w14:solidFill>
              <w14:schemeClr w14:val="tx1"/>
            </w14:solidFill>
          </w14:textFill>
        </w:rPr>
        <w:t xml:space="preserve">供应商合法有效的法人或者其他组织的营业执照等证明文件，自然人的身份证明，以上证明文件的</w:t>
      </w:r>
      <w:r>
        <w:rPr>
          <w:rFonts w:hint="eastAsia" w:ascii="宋体" w:hAnsi="宋体" w:cs="宋体"/>
          <w:b/>
          <w:bCs/>
          <w:color w:val="000000" w:themeColor="text1"/>
          <w:sz w:val="24"/>
          <w:highlight w:val="none"/>
          <w:lang w:eastAsia="zh-CN"/>
          <w14:textFill>
            <w14:solidFill>
              <w14:schemeClr w14:val="tx1"/>
            </w14:solidFill>
          </w14:textFill>
        </w:rPr>
        <w:t xml:space="preserve">原件的扫描件（彩色）</w:t>
      </w:r>
      <w:r>
        <w:rPr>
          <w:rFonts w:hint="eastAsia" w:ascii="宋体" w:hAnsi="宋体" w:cs="宋体"/>
          <w:b/>
          <w:bCs/>
          <w:color w:val="000000" w:themeColor="text1"/>
          <w:sz w:val="24"/>
          <w:highlight w:val="none"/>
          <w14:textFill>
            <w14:solidFill>
              <w14:schemeClr w14:val="tx1"/>
            </w14:solidFill>
          </w14:textFill>
        </w:rPr>
        <w:t xml:space="preserve">；</w:t>
      </w:r>
      <w:r/>
    </w:p>
    <w:p>
      <w:pPr>
        <w:ind w:right="-334"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、财务状况报告，至少提供：</w:t>
      </w:r>
      <w:r/>
    </w:p>
    <w:p>
      <w:pPr>
        <w:ind w:right="-334" w:firstLine="48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供应商的提交首次响应文件时间前6个月内任何日期的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bCs w:val="0"/>
          <w:color w:val="auto"/>
          <w:sz w:val="24"/>
          <w:highlight w:val="none"/>
          <w:lang w:val="en-US" w:eastAsia="zh-CN"/>
        </w:rPr>
        <w:t xml:space="preserve">各一份</w:t>
      </w:r>
      <w:r>
        <w:rPr>
          <w:rFonts w:hint="eastAsia" w:ascii="宋体" w:hAnsi="宋体" w:cs="宋体"/>
          <w:b/>
          <w:bCs w:val="0"/>
          <w:color w:val="auto"/>
          <w:sz w:val="24"/>
          <w:highlight w:val="none"/>
        </w:rPr>
        <w:t xml:space="preserve">；</w:t>
      </w:r>
      <w:r>
        <w:rPr>
          <w:rFonts w:hint="eastAsia" w:ascii="宋体" w:hAnsi="宋体" w:cs="宋体"/>
          <w:bCs/>
          <w:color w:val="auto"/>
          <w:sz w:val="24"/>
          <w:highlight w:val="none"/>
        </w:rPr>
        <w:t xml:space="preserve">或供应商基本开户银行出具的有效的资信证明扫描件；或财政部门认可的政府采购专业担保机构出具的有效的投标担保函扫描件；或其上一年度经审计的财务报告</w:t>
      </w:r>
      <w:r>
        <w:rPr>
          <w:rFonts w:hint="eastAsia" w:ascii="宋体" w:hAnsi="宋体" w:cs="宋体"/>
          <w:bCs/>
          <w:color w:val="auto"/>
          <w:sz w:val="24"/>
          <w:highlight w:val="none"/>
          <w:lang w:val="en-US" w:eastAsia="zh-CN"/>
        </w:rPr>
        <w:t xml:space="preserve">扫描件；</w:t>
      </w:r>
      <w:r/>
    </w:p>
    <w:p>
      <w:pPr>
        <w:numPr>
          <w:ilvl w:val="0"/>
          <w:numId w:val="3"/>
        </w:num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供应商的提交首次响应文件时间前6个月内任何1月的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bCs w:val="0"/>
          <w:color w:val="auto"/>
          <w:sz w:val="24"/>
          <w:highlight w:val="none"/>
          <w:lang w:val="en-US" w:eastAsia="zh-CN"/>
        </w:rPr>
        <w:t xml:space="preserve">各一份</w:t>
      </w:r>
      <w:r>
        <w:rPr>
          <w:rFonts w:hint="eastAsia" w:ascii="宋体" w:hAnsi="宋体" w:cs="宋体"/>
          <w:b/>
          <w:bCs w:val="0"/>
          <w:color w:val="auto"/>
          <w:sz w:val="24"/>
          <w:highlight w:val="none"/>
        </w:rPr>
        <w:t xml:space="preserve">；</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ind w:firstLine="482"/>
        <w:spacing w:line="360" w:lineRule="auto"/>
        <w:rPr>
          <w:rFonts w:hint="eastAsia"/>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、具备履行合同所必需的设备和专业技术能力的证明材料。即</w:t>
      </w:r>
      <w:r>
        <w:rPr>
          <w:rFonts w:hint="eastAsia" w:ascii="宋体" w:hAnsi="宋体" w:cs="宋体"/>
          <w:b/>
          <w:bCs/>
          <w:color w:val="auto"/>
          <w:sz w:val="24"/>
          <w:highlight w:val="none"/>
          <w:lang w:eastAsia="zh-CN"/>
        </w:rPr>
        <w:t xml:space="preserve">响应文件</w:t>
      </w:r>
      <w:r>
        <w:rPr>
          <w:rFonts w:hint="eastAsia" w:ascii="宋体" w:hAnsi="宋体" w:cs="宋体"/>
          <w:b/>
          <w:bCs/>
          <w:color w:val="auto"/>
          <w:sz w:val="24"/>
          <w:highlight w:val="none"/>
        </w:rPr>
        <w:t xml:space="preserve">中提供《</w:t>
      </w:r>
      <w:bookmarkStart w:id="0" w:name="_Toc515551102"/>
      <w:r>
        <w:rPr>
          <w:rFonts w:hint="eastAsia" w:ascii="宋体" w:hAnsi="宋体" w:cs="宋体"/>
          <w:b/>
          <w:bCs/>
          <w:color w:val="auto"/>
          <w:sz w:val="24"/>
          <w:highlight w:val="none"/>
        </w:rPr>
        <w:t xml:space="preserve">具备履行合同所必需的设备和专业技术能力的书面声明</w:t>
      </w:r>
      <w:bookmarkEnd w:id="0"/>
      <w:r>
        <w:rPr>
          <w:rFonts w:hint="eastAsia" w:ascii="宋体" w:hAnsi="宋体" w:cs="宋体"/>
          <w:b/>
          <w:bCs/>
          <w:color w:val="auto"/>
          <w:sz w:val="24"/>
          <w:highlight w:val="none"/>
        </w:rPr>
        <w:t xml:space="preserve">》</w:t>
      </w:r>
      <w:r>
        <w:rPr>
          <w:rFonts w:hint="eastAsia" w:ascii="宋体" w:hAnsi="宋体" w:cs="宋体"/>
          <w:b w:val="0"/>
          <w:bCs/>
          <w:color w:val="auto"/>
          <w:sz w:val="24"/>
          <w:szCs w:val="24"/>
          <w:highlight w:val="none"/>
        </w:rPr>
        <w:t xml:space="preserve">（附证明材料</w:t>
      </w:r>
      <w:r>
        <w:rPr>
          <w:rFonts w:hint="eastAsia" w:ascii="宋体" w:hAnsi="宋体" w:cs="宋体"/>
          <w:b w:val="0"/>
          <w:bCs/>
          <w:color w:val="auto"/>
          <w:sz w:val="24"/>
          <w:szCs w:val="24"/>
          <w:highlight w:val="none"/>
          <w:lang w:eastAsia="zh-CN"/>
        </w:rPr>
        <w:t xml:space="preserve">原件的扫描件（彩色）</w:t>
      </w:r>
      <w:r>
        <w:rPr>
          <w:rFonts w:hint="eastAsia" w:ascii="宋体" w:hAnsi="宋体" w:cs="宋体"/>
          <w:b w:val="0"/>
          <w:bCs/>
          <w:color w:val="auto"/>
          <w:sz w:val="24"/>
          <w:szCs w:val="24"/>
          <w:highlight w:val="none"/>
        </w:rPr>
        <w:t xml:space="preserve">）（加盖电子签章，格式见《磋商文件》附件</w:t>
      </w:r>
      <w:r>
        <w:rPr>
          <w:rFonts w:hint="eastAsia" w:ascii="宋体" w:hAnsi="宋体" w:eastAsia="宋体" w:cs="宋体"/>
          <w:b/>
          <w:bCs w:val="0"/>
          <w:color w:val="auto"/>
          <w:sz w:val="24"/>
          <w:szCs w:val="24"/>
          <w:highlight w:val="none"/>
          <w:lang w:eastAsia="zh-CN"/>
        </w:rPr>
        <w:t xml:space="preserve">）；</w:t>
      </w:r>
      <w:r/>
    </w:p>
    <w:p>
      <w:pPr>
        <w:ind w:right="-334"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right="-334" w:firstLine="482"/>
        <w:spacing w:line="360" w:lineRule="auto"/>
        <w:rPr>
          <w:rFonts w:hint="eastAsia" w:ascii="宋体" w:hAnsi="宋体" w:cs="宋体"/>
          <w:b w:val="0"/>
          <w:bCs/>
          <w:color w:val="auto"/>
          <w:sz w:val="24"/>
          <w:highlight w:val="none"/>
        </w:rPr>
      </w:pPr>
      <w:r>
        <w:rPr>
          <w:rFonts w:hint="eastAsia" w:ascii="宋体" w:hAnsi="宋体" w:cs="宋体"/>
          <w:b/>
          <w:color w:val="auto"/>
          <w:sz w:val="24"/>
          <w:highlight w:val="none"/>
        </w:rPr>
        <w:t xml:space="preserve">6、</w:t>
      </w:r>
      <w:r>
        <w:rPr>
          <w:rFonts w:hint="eastAsia" w:ascii="宋体" w:hAnsi="宋体" w:cs="宋体"/>
          <w:b/>
          <w:color w:val="000000" w:themeColor="text1"/>
          <w:sz w:val="24"/>
          <w:highlight w:val="none"/>
          <w14:textFill>
            <w14:solidFill>
              <w14:schemeClr w14:val="tx1"/>
            </w14:solidFill>
          </w14:textFill>
        </w:rPr>
        <w:t xml:space="preserve">本项目为专门面向中小微企业采购的项目，</w:t>
      </w:r>
      <w:r>
        <w:rPr>
          <w:rFonts w:hint="eastAsia" w:ascii="宋体" w:hAnsi="宋体" w:cs="宋体"/>
          <w:b/>
          <w:color w:val="auto"/>
          <w:sz w:val="24"/>
          <w:highlight w:val="none"/>
        </w:rPr>
        <w:t xml:space="preserve">供应商</w:t>
      </w:r>
      <w:r>
        <w:rPr>
          <w:rFonts w:hint="eastAsia" w:ascii="宋体" w:hAnsi="宋体" w:cs="宋体"/>
          <w:b/>
          <w:color w:val="auto"/>
          <w:sz w:val="24"/>
          <w:highlight w:val="none"/>
          <w:lang w:val="en-US" w:eastAsia="zh-CN"/>
        </w:rPr>
        <w:t xml:space="preserve">应</w:t>
      </w:r>
      <w:r>
        <w:rPr>
          <w:rFonts w:hint="eastAsia" w:ascii="宋体" w:hAnsi="宋体" w:cs="宋体"/>
          <w:b/>
          <w:color w:val="auto"/>
          <w:sz w:val="24"/>
          <w:highlight w:val="none"/>
        </w:rPr>
        <w:t xml:space="preserve">为中小</w:t>
      </w:r>
      <w:r>
        <w:rPr>
          <w:rFonts w:hint="eastAsia" w:ascii="宋体" w:hAnsi="宋体" w:cs="宋体"/>
          <w:b/>
          <w:color w:val="auto"/>
          <w:sz w:val="24"/>
          <w:highlight w:val="none"/>
          <w:lang w:val="en-US" w:eastAsia="zh-CN"/>
        </w:rPr>
        <w:t xml:space="preserve">微</w:t>
      </w:r>
      <w:r>
        <w:rPr>
          <w:rFonts w:hint="eastAsia" w:ascii="宋体" w:hAnsi="宋体" w:cs="宋体"/>
          <w:b/>
          <w:color w:val="auto"/>
          <w:sz w:val="24"/>
          <w:highlight w:val="none"/>
        </w:rPr>
        <w:t xml:space="preserve">企业（含中型、小型、微型企业，下同）的，提供《中小企业声明函》原件（电子签章，填写完整。必须提供，格式见《磋商文件》附件）。《中小企业声明函》查询渠道用微信搜索“中小企业规模类型自测小程序”。</w:t>
      </w:r>
      <w:r/>
    </w:p>
    <w:p>
      <w:pPr>
        <w:ind w:right="-334"/>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注：中小微企业，应当同时符合以下条件：</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pStyle w:val="991"/>
        <w:ind w:left="0" w:right="-334" w:firstLine="482"/>
        <w:jc w:val="both"/>
        <w:keepLines w:val="0"/>
        <w:keepNext w:val="0"/>
        <w:spacing w:before="0" w:beforeAutospacing="0" w:after="0" w:afterAutospacing="0" w:line="360" w:lineRule="auto"/>
        <w:widowControl w:val="off"/>
        <w:rPr>
          <w:rFonts w:hint="eastAsia" w:ascii="宋体" w:hAnsi="宋体" w:cs="宋体"/>
          <w:b/>
          <w:bCs/>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2、分项价格表（加盖电子签章，格式见《磋商文件》附件）；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、授权委托书（后附授权委托书中受托人身份证</w:t>
      </w:r>
      <w:r>
        <w:rPr>
          <w:rFonts w:hint="eastAsia" w:ascii="宋体" w:hAnsi="宋体" w:cs="宋体"/>
          <w:b/>
          <w:bCs/>
          <w:color w:val="auto"/>
          <w:sz w:val="24"/>
          <w:highlight w:val="none"/>
          <w:lang w:eastAsia="zh-CN"/>
        </w:rPr>
        <w:t xml:space="preserve">原件的扫描件（彩色）</w:t>
      </w:r>
      <w:r>
        <w:rPr>
          <w:rFonts w:hint="eastAsia" w:ascii="宋体" w:hAnsi="宋体" w:cs="宋体"/>
          <w:b/>
          <w:bCs/>
          <w:color w:val="auto"/>
          <w:sz w:val="24"/>
          <w:highlight w:val="none"/>
        </w:rPr>
        <w:t xml:space="preserve">）（提供</w:t>
      </w:r>
      <w:r>
        <w:rPr>
          <w:rFonts w:hint="eastAsia" w:ascii="宋体" w:hAnsi="宋体" w:cs="宋体"/>
          <w:b/>
          <w:bCs/>
          <w:color w:val="auto"/>
          <w:sz w:val="24"/>
          <w:highlight w:val="none"/>
          <w:lang w:eastAsia="zh-CN"/>
        </w:rPr>
        <w:t xml:space="preserve">原件的扫描件（彩色）</w:t>
      </w:r>
      <w:r>
        <w:rPr>
          <w:rFonts w:hint="eastAsia" w:ascii="宋体" w:hAnsi="宋体" w:cs="宋体"/>
          <w:b/>
          <w:bCs/>
          <w:color w:val="auto"/>
          <w:sz w:val="24"/>
          <w:highlight w:val="none"/>
        </w:rPr>
        <w:t xml:space="preserve">，格式见《磋商文件》附件）；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、偏离表（加盖电子签章，格式见《磋商文件》附件）；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eastAsia="宋体" w:cs="宋体"/>
          <w:bCs/>
          <w:color w:val="auto"/>
          <w:sz w:val="24"/>
          <w:szCs w:val="24"/>
          <w:highlight w:val="none"/>
          <w:lang w:val="zh-CN"/>
        </w:rPr>
        <w:t xml:space="preserve">项目的总体概述</w:t>
      </w:r>
      <w:r>
        <w:rPr>
          <w:rFonts w:hint="eastAsia" w:ascii="宋体" w:hAnsi="宋体" w:cs="宋体"/>
          <w:color w:val="auto"/>
          <w:sz w:val="24"/>
          <w:highlight w:val="none"/>
        </w:rPr>
        <w:t xml:space="preserve">（要求见《磋商文件》附件1、《评分细则》及附件：2、《项目要求（采购需求）》）；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ascii="宋体" w:hAnsi="宋体" w:eastAsia="宋体" w:cs="宋体"/>
          <w:bCs/>
          <w:color w:val="auto"/>
          <w:sz w:val="24"/>
          <w:szCs w:val="24"/>
          <w:highlight w:val="none"/>
        </w:rPr>
        <w:t xml:space="preserve">实施方案</w:t>
      </w:r>
      <w:r>
        <w:rPr>
          <w:rFonts w:hint="eastAsia" w:ascii="宋体" w:hAnsi="宋体" w:cs="宋体"/>
          <w:b w:val="0"/>
          <w:bCs w:val="0"/>
          <w:color w:val="auto"/>
          <w:sz w:val="24"/>
          <w:highlight w:val="none"/>
          <w:lang w:val="en-US" w:eastAsia="zh-CN"/>
        </w:rPr>
        <w:t xml:space="preserve">（要求见《磋商文件》附件1、《评分细则》及附件：2、《项目要求（采购需求）》）；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w:t>
      </w:r>
      <w:r>
        <w:rPr>
          <w:rFonts w:hint="eastAsia" w:ascii="宋体" w:hAnsi="宋体" w:eastAsia="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保障措施</w:t>
      </w:r>
      <w:r>
        <w:rPr>
          <w:rFonts w:hint="eastAsia" w:ascii="宋体" w:hAnsi="宋体" w:cs="宋体"/>
          <w:b w:val="0"/>
          <w:bCs w:val="0"/>
          <w:color w:val="auto"/>
          <w:sz w:val="24"/>
          <w:highlight w:val="none"/>
          <w:lang w:val="en-US" w:eastAsia="zh-CN"/>
        </w:rPr>
        <w:t xml:space="preserve">（要求见《磋商文件》附件1、《评分细则》及附件：2、《项目要求（采购需求）》）；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4、安全风险防控应急预案及对策（要求见《磋商文件》附件1、《评分细则》及附件：2、《项目要求（采购需求）》）；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5、重难点分析及解决措施（要求见《磋商文件》附件1、《评分细则》及附件：2、《项目要求（采购需求）》）；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6、档案、资料管理制度及方案（要求见《磋商文件》附件1、《评分细则》及附件：2、《项目要求（采购需求）》）；</w:t>
      </w:r>
      <w:r/>
    </w:p>
    <w:p>
      <w:pPr>
        <w:ind w:firstLine="480"/>
        <w:spacing w:line="360" w:lineRule="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7、响应方案（要求见《磋商文件》附件1、《评分细则》及附件：2、《项目要求（采购需求）》）；</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1、人员配备（要求见《磋商文件》附件1、《评分细则》）；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设备</w:t>
      </w:r>
      <w:r>
        <w:rPr>
          <w:rFonts w:hint="eastAsia" w:ascii="宋体" w:hAnsi="宋体" w:cs="宋体"/>
          <w:color w:val="auto"/>
          <w:sz w:val="24"/>
          <w:highlight w:val="none"/>
        </w:rPr>
        <w:t xml:space="preserve">配备（要求见《磋商文件》附件1、《评分细则》）；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、综合实力（要求见《磋商文件》附件1、《评分细则》）；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、业绩（要求见《磋商文件》附件1、《评分细则》）；</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pStyle w:val="101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1010"/>
        <w:ind w:firstLine="48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0"/>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2、签署要求：</w:t>
      </w:r>
      <w:r>
        <w:rPr>
          <w:rFonts w:hint="eastAsia" w:ascii="宋体" w:hAnsi="宋体" w:cs="宋体"/>
          <w:color w:val="auto"/>
          <w:sz w:val="24"/>
          <w:highlight w:val="none"/>
        </w:rPr>
        <w:t xml:space="preserve">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010"/>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3、盖章要求：</w:t>
      </w:r>
      <w:r>
        <w:rPr>
          <w:rFonts w:hint="eastAsia" w:ascii="宋体" w:hAnsi="宋体" w:cs="宋体"/>
          <w:color w:val="auto"/>
          <w:sz w:val="24"/>
          <w:highlight w:val="none"/>
        </w:rPr>
        <w:t xml:space="preserve">见《磋商文件》第九章附件中相关格式要求。供应商须通过“苏采云”系统提供的政府采购客户端工具（使用“CA数字证书”）加盖电子签章。</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50M！ </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pStyle w:val="1010"/>
        <w:ind w:firstLine="497"/>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供应商应当按照《磋商文件》的要求编制响应文件，并对其提交的响应文件的真实性、合法性承担法律责任。</w:t>
      </w:r>
      <w:r/>
    </w:p>
    <w:p>
      <w:pPr>
        <w:pStyle w:val="1010"/>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1010"/>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010"/>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4、磋商顺序按照电子标书解密先后时间进行，解密时间相同的，不分先后顺序。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10"/>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1010"/>
        <w:ind w:firstLine="48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7、未在规定时间内进行报价的，视为响应无效。</w:t>
      </w:r>
      <w:r/>
    </w:p>
    <w:p>
      <w:pPr>
        <w:pStyle w:val="1010"/>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项目实施方案优劣顺序推荐。</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10"/>
        <w:ind w:firstLine="482"/>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根据铜财购[2025]12号文件，评审过程中出现下列情形之一的，评审委员会应当启动异常低价投标(响应)审查程序:</w:t>
      </w:r>
      <w:r/>
    </w:p>
    <w:p>
      <w:pPr>
        <w:pStyle w:val="1010"/>
        <w:ind w:firstLine="482"/>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1.投标(响应)报价低于采购项目预算50%的，即投标(响应)报价&lt;采购项目预算×50%；</w:t>
      </w:r>
      <w:r/>
    </w:p>
    <w:p>
      <w:pPr>
        <w:pStyle w:val="1010"/>
        <w:ind w:firstLine="482"/>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2.投标(响应)报价低于采购项目最高限价45%的，即投标(响应)报价&lt;采购项目最高限价×45%；</w:t>
      </w:r>
      <w:r/>
    </w:p>
    <w:p>
      <w:pPr>
        <w:pStyle w:val="1010"/>
        <w:ind w:firstLine="482"/>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3.评审委员会认定的供应商报价过低、有可能影响产品质量或者不能诚信履约的其他情形。</w:t>
      </w:r>
      <w:r/>
    </w:p>
    <w:p>
      <w:pPr>
        <w:pStyle w:val="1010"/>
        <w:ind w:firstLine="482"/>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010"/>
        <w:ind w:firstLine="482"/>
        <w:spacing w:line="360" w:lineRule="auto"/>
        <w:rPr>
          <w:rFonts w:hint="eastAsia"/>
          <w:highlight w:val="none"/>
        </w:rPr>
      </w:pPr>
      <w:r>
        <w:rPr>
          <w:rFonts w:hint="eastAsia" w:ascii="宋体" w:hAnsi="宋体" w:eastAsia="宋体" w:cs="宋体"/>
          <w:b/>
          <w:bCs/>
          <w:color w:val="auto"/>
          <w:sz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1010"/>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rPr>
          <w:rFonts w:hint="eastAsia" w:ascii="宋体" w:hAnsi="宋体" w:cs="宋体"/>
          <w:color w:val="auto"/>
          <w:sz w:val="24"/>
          <w:highlight w:val="none"/>
          <w:lang w:eastAsia="zh-CN"/>
        </w:rPr>
        <w:t xml:space="preserve">。</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numPr>
          <w:ilvl w:val="0"/>
          <w:numId w:val="4"/>
        </w:numPr>
        <w:ind w:left="1055" w:right="29" w:hanging="4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“信用中国”网（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"http://www.creditchina.gov.cn/" \o "http://www.creditchina.gov.cn/"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eastAsia="zh-CN"/>
        </w:rPr>
        <w:t xml:space="preserve">www.creditchina.gov.cn</w:t>
      </w:r>
      <w:r>
        <w:rPr>
          <w:rFonts w:hint="eastAsia" w:ascii="宋体" w:hAnsi="宋体" w:eastAsia="宋体" w:cs="宋体"/>
          <w:color w:val="auto"/>
          <w:sz w:val="24"/>
          <w:highlight w:val="none"/>
          <w:lang w:eastAsia="zh-CN"/>
        </w:rPr>
        <w:fldChar w:fldCharType="end"/>
      </w:r>
      <w:r>
        <w:rPr>
          <w:rFonts w:hint="eastAsia" w:ascii="宋体" w:hAnsi="宋体" w:eastAsia="宋体" w:cs="宋体"/>
          <w:color w:val="auto"/>
          <w:sz w:val="24"/>
          <w:highlight w:val="none"/>
          <w:lang w:eastAsia="zh-CN"/>
        </w:rPr>
        <w:t xml:space="preserve">）；</w:t>
      </w:r>
      <w:r/>
    </w:p>
    <w:p>
      <w:pPr>
        <w:numPr>
          <w:ilvl w:val="0"/>
          <w:numId w:val="4"/>
        </w:numPr>
        <w:ind w:left="1055" w:right="29" w:hanging="42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中国政府采购网（</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 \o "http://www.ccgp.gov.cn/"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lang w:eastAsia="zh-CN"/>
        </w:rPr>
        <w:t xml:space="preserve">www.ccgp.gov.cn</w:t>
      </w:r>
      <w:r>
        <w:rPr>
          <w:rFonts w:hint="eastAsia" w:ascii="宋体" w:hAnsi="宋体" w:eastAsia="宋体" w:cs="宋体"/>
          <w:color w:val="auto"/>
          <w:sz w:val="24"/>
          <w:highlight w:val="none"/>
          <w:lang w:eastAsia="zh-CN"/>
        </w:rPr>
        <w:fldChar w:fldCharType="end"/>
      </w:r>
      <w:r>
        <w:rPr>
          <w:rFonts w:hint="eastAsia" w:ascii="宋体" w:hAnsi="宋体" w:eastAsia="宋体" w:cs="宋体"/>
          <w:color w:val="auto"/>
          <w:sz w:val="24"/>
          <w:highlight w:val="none"/>
          <w:lang w:eastAsia="zh-CN"/>
        </w:rPr>
        <w:t xml:space="preserve">）；</w:t>
      </w:r>
      <w:r/>
    </w:p>
    <w:p>
      <w:pPr>
        <w:numPr>
          <w:ilvl w:val="0"/>
          <w:numId w:val="4"/>
        </w:numPr>
        <w:ind w:left="1055" w:right="29" w:hanging="425"/>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“信用江苏”网（http://credit.jiangsu.gov.cn/）；</w:t>
      </w:r>
      <w:r/>
    </w:p>
    <w:p>
      <w:pPr>
        <w:numPr>
          <w:ilvl w:val="0"/>
          <w:numId w:val="4"/>
        </w:numPr>
        <w:ind w:left="1055" w:right="29" w:hanging="425"/>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“信用徐州”网（www.xuzhoucredit.gov.cn/）。</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1010"/>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1010"/>
        <w:ind w:firstLine="478"/>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1、评审方法：综合评分法</w:t>
      </w:r>
      <w:r>
        <w:rPr>
          <w:rFonts w:hint="eastAsia" w:ascii="宋体" w:hAnsi="宋体" w:cs="宋体"/>
          <w:color w:val="auto"/>
          <w:sz w:val="24"/>
          <w:highlight w:val="none"/>
          <w:lang w:eastAsia="zh-CN"/>
        </w:rPr>
        <w:t xml:space="preserve">。</w:t>
      </w:r>
      <w:r/>
    </w:p>
    <w:p>
      <w:pPr>
        <w:pStyle w:val="1010"/>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1010"/>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010"/>
        <w:ind w:right="29"/>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1010"/>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1010"/>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10"/>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010"/>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1010"/>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10"/>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1010"/>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3、质疑和投诉按《政府采购质疑和投诉办法》执行。</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温乔乔</w:t>
      </w:r>
      <w:r>
        <w:rPr>
          <w:rFonts w:hint="eastAsia" w:ascii="宋体" w:hAnsi="宋体" w:cs="宋体"/>
          <w:color w:val="auto"/>
          <w:sz w:val="24"/>
          <w:highlight w:val="none"/>
        </w:rPr>
        <w:t xml:space="preserve">        联系电话：0516-85699499</w:t>
      </w:r>
      <w:r/>
    </w:p>
    <w:p>
      <w:pPr>
        <w:ind w:firstLine="480"/>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徐州市铜山区水务局</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徐州市铜山区铜山新区科技创业大厦</w:t>
      </w:r>
      <w:r/>
    </w:p>
    <w:p>
      <w:pPr>
        <w:ind w:firstLine="480"/>
        <w:spacing w:line="360" w:lineRule="auto"/>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rPr>
        <w:t xml:space="preserve">联系方式：</w:t>
      </w:r>
      <w:r>
        <w:rPr>
          <w:rFonts w:hint="eastAsia" w:ascii="宋体" w:hAnsi="宋体" w:cs="宋体"/>
          <w:color w:val="auto"/>
          <w:sz w:val="24"/>
          <w:highlight w:val="none"/>
          <w:shd w:val="clear" w:color="auto" w:fill="auto"/>
          <w:lang w:eastAsia="zh-CN"/>
        </w:rPr>
        <w:t xml:space="preserve">张主任</w:t>
      </w:r>
      <w:r>
        <w:rPr>
          <w:rFonts w:hint="eastAsia" w:ascii="宋体" w:hAnsi="宋体" w:eastAsia="宋体" w:cs="宋体"/>
          <w:color w:val="auto"/>
          <w:sz w:val="24"/>
          <w:highlight w:val="none"/>
          <w:shd w:val="clear" w:color="auto"/>
          <w:lang w:val="en-US" w:eastAsia="zh-CN"/>
        </w:rPr>
        <w:t xml:space="preserve">   </w:t>
      </w:r>
      <w:r>
        <w:rPr>
          <w:rFonts w:hint="eastAsia" w:ascii="宋体" w:hAnsi="宋体" w:eastAsia="宋体" w:cs="宋体"/>
          <w:color w:val="auto"/>
          <w:sz w:val="24"/>
          <w:highlight w:val="none"/>
          <w:lang w:val="en-US" w:eastAsia="zh-CN"/>
        </w:rPr>
        <w:t xml:space="preserve">0516-69682038</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w:t>
      </w:r>
      <w:r>
        <w:rPr>
          <w:rFonts w:hint="eastAsia" w:ascii="宋体" w:hAnsi="宋体" w:eastAsia="宋体" w:cs="宋体"/>
          <w:color w:val="000000"/>
          <w:sz w:val="24"/>
          <w:szCs w:val="24"/>
          <w:highlight w:val="none"/>
        </w:rPr>
        <w:t xml:space="preserve">温乔乔、</w:t>
      </w:r>
      <w:r>
        <w:rPr>
          <w:rFonts w:hint="eastAsia" w:ascii="宋体" w:hAnsi="宋体" w:cs="宋体"/>
          <w:color w:val="auto"/>
          <w:sz w:val="24"/>
          <w:highlight w:val="none"/>
          <w:lang w:val="en-US" w:eastAsia="zh-CN"/>
        </w:rPr>
        <w:t xml:space="preserve">毛玲   0516-83999067/85699499</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二十三、成交供应商在领取成交通知书前，向采购代理机构缴纳代理服务费，</w:t>
      </w:r>
      <w:r>
        <w:rPr>
          <w:rFonts w:hint="eastAsia" w:ascii="宋体" w:hAnsi="宋体" w:cs="宋体"/>
          <w:b/>
          <w:bCs/>
          <w:color w:val="auto"/>
          <w:sz w:val="24"/>
          <w:highlight w:val="none"/>
          <w:lang w:eastAsia="zh-CN"/>
        </w:rPr>
        <w:t xml:space="preserve">标准</w:t>
      </w:r>
      <w:r>
        <w:rPr>
          <w:rFonts w:hint="eastAsia" w:ascii="宋体" w:hAnsi="宋体" w:cs="宋体"/>
          <w:b/>
          <w:bCs/>
          <w:color w:val="auto"/>
          <w:sz w:val="24"/>
          <w:highlight w:val="none"/>
        </w:rPr>
        <w:t xml:space="preserve">按《代理服务收费标准》</w:t>
      </w:r>
      <w:r>
        <w:rPr>
          <w:rFonts w:hint="eastAsia" w:ascii="宋体" w:hAnsi="宋体" w:cs="宋体"/>
          <w:b/>
          <w:bCs/>
          <w:color w:val="auto"/>
          <w:sz w:val="24"/>
          <w:highlight w:val="none"/>
          <w:lang w:val="en-US" w:eastAsia="zh-CN"/>
        </w:rPr>
        <w:t xml:space="preserve">*80%收取</w:t>
      </w:r>
      <w:r>
        <w:rPr>
          <w:rFonts w:hint="eastAsia" w:ascii="宋体" w:hAnsi="宋体" w:cs="宋体"/>
          <w:b/>
          <w:bCs/>
          <w:color w:val="auto"/>
          <w:sz w:val="24"/>
          <w:highlight w:val="none"/>
        </w:rPr>
        <w:t xml:space="preserve">（见附件）。</w:t>
      </w:r>
      <w:r/>
    </w:p>
    <w:p>
      <w:pPr>
        <w:ind w:left="0" w:right="0" w:firstLine="0"/>
        <w:jc w:val="both"/>
        <w:keepLines w:val="0"/>
        <w:keepNext w:val="0"/>
        <w:pageBreakBefore w:val="0"/>
        <w:spacing w:before="0" w:after="0"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r>
      <w:r>
        <w:rPr>
          <w:rFonts w:hint="eastAsia" w:ascii="宋体" w:hAnsi="宋体" w:eastAsia="宋体" w:cs="宋体"/>
          <w:b/>
          <w:color w:val="000000"/>
          <w:sz w:val="24"/>
          <w:szCs w:val="24"/>
          <w:highlight w:val="none"/>
        </w:rPr>
        <w:t xml:space="preserve">账户信息：</w:t>
      </w:r>
      <w:r>
        <w:rPr>
          <w:rFonts w:hint="eastAsia" w:ascii="宋体" w:hAnsi="宋体" w:cs="宋体"/>
          <w:sz w:val="24"/>
          <w:szCs w:val="24"/>
          <w:highlight w:val="none"/>
        </w:rPr>
      </w:r>
      <w:r>
        <w:rPr>
          <w:sz w:val="24"/>
          <w:szCs w:val="24"/>
        </w:rPr>
      </w:r>
    </w:p>
    <w:p>
      <w:pPr>
        <w:ind w:left="0" w:right="0" w:firstLine="0"/>
        <w:jc w:val="both"/>
        <w:keepLines w:val="0"/>
        <w:keepNext w:val="0"/>
        <w:pageBreakBefore w:val="0"/>
        <w:spacing w:before="0" w:after="0"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账户名：江苏海外集团国际工程咨询有限公司徐州分公司</w:t>
      </w:r>
      <w:r>
        <w:rPr>
          <w:rFonts w:hint="eastAsia" w:ascii="宋体" w:hAnsi="宋体" w:cs="宋体"/>
          <w:sz w:val="24"/>
          <w:szCs w:val="24"/>
          <w:highlight w:val="none"/>
        </w:rPr>
      </w:r>
      <w:r>
        <w:rPr>
          <w:sz w:val="24"/>
          <w:szCs w:val="24"/>
        </w:rPr>
      </w:r>
    </w:p>
    <w:p>
      <w:pPr>
        <w:ind w:left="0" w:right="0" w:firstLine="0"/>
        <w:jc w:val="both"/>
        <w:keepLines w:val="0"/>
        <w:keepNext w:val="0"/>
        <w:pageBreakBefore w:val="0"/>
        <w:spacing w:before="0" w:after="0" w:line="440" w:lineRule="exact"/>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开户银行：上海浦东发展银行股份有限公司徐州分行</w:t>
      </w:r>
      <w:r>
        <w:rPr>
          <w:rFonts w:hint="eastAsia" w:ascii="宋体" w:hAnsi="宋体" w:cs="宋体"/>
          <w:sz w:val="24"/>
          <w:szCs w:val="24"/>
          <w:highlight w:val="none"/>
        </w:rPr>
      </w:r>
      <w:r>
        <w:rPr>
          <w:sz w:val="24"/>
          <w:szCs w:val="24"/>
        </w:rPr>
      </w:r>
    </w:p>
    <w:p>
      <w:pPr>
        <w:ind w:left="0" w:right="0" w:firstLine="0"/>
        <w:jc w:val="both"/>
        <w:keepLines w:val="0"/>
        <w:keepNext w:val="0"/>
        <w:pageBreakBefore w:val="0"/>
        <w:spacing w:before="0" w:after="0" w:line="440" w:lineRule="exact"/>
        <w:widowControl w:val="off"/>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账号：11110154740005866</w:t>
      </w:r>
      <w:r>
        <w:rPr>
          <w:rFonts w:hint="eastAsia" w:ascii="宋体" w:hAnsi="宋体" w:cs="宋体"/>
          <w:b/>
          <w:bCs/>
          <w:color w:val="auto"/>
          <w:sz w:val="24"/>
          <w:szCs w:val="24"/>
          <w:highlight w:val="none"/>
        </w:rPr>
      </w:r>
      <w:r>
        <w:rPr>
          <w:rFonts w:hint="eastAsia" w:ascii="宋体" w:hAnsi="宋体" w:cs="宋体"/>
          <w:sz w:val="24"/>
          <w:szCs w:val="24"/>
          <w:highlight w:val="none"/>
        </w:rP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w:t>
      </w:r>
      <w:r>
        <w:rPr>
          <w:rFonts w:hint="eastAsia" w:ascii="宋体" w:hAnsi="宋体" w:cs="宋体"/>
          <w:b/>
          <w:bCs/>
          <w:color w:val="auto"/>
          <w:sz w:val="24"/>
          <w:highlight w:val="none"/>
          <w:lang w:val="en-US" w:eastAsia="zh-CN"/>
        </w:rPr>
        <w:t xml:space="preserve">服务</w:t>
      </w:r>
      <w:r>
        <w:rPr>
          <w:rFonts w:hint="eastAsia" w:ascii="宋体" w:hAnsi="宋体" w:cs="宋体"/>
          <w:b/>
          <w:bCs/>
          <w:color w:val="auto"/>
          <w:sz w:val="24"/>
          <w:highlight w:val="none"/>
        </w:rPr>
        <w:t xml:space="preserve">。</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1、《评分细则》</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2、《项目要求（采购需求）》</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3、《磋商报价表》</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、《拟签订的合同文本》</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ind w:firstLine="482"/>
        <w:keepLines w:val="0"/>
        <w:keepNext w:val="0"/>
        <w:pageBreakBefore w:val="0"/>
        <w:spacing w:line="360"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、《中小企业声明函》</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、《残疾人福利性单位声明函》</w:t>
      </w:r>
      <w:r/>
    </w:p>
    <w:p>
      <w:pPr>
        <w:ind w:firstLine="480"/>
        <w:keepLines w:val="0"/>
        <w:keepNext w:val="0"/>
        <w:pageBreakBefore w:val="0"/>
        <w:spacing w:line="360" w:lineRule="auto"/>
        <w:widowControl w:val="off"/>
        <w:rPr>
          <w:rFonts w:hint="default" w:ascii="宋体" w:hAnsi="宋体" w:eastAsia="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12、《具备履行合同所必需的设备和专业技术能力的书面声明》</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、《代理服务收费标准》</w:t>
      </w:r>
      <w:r/>
    </w:p>
    <w:p>
      <w:pPr>
        <w:ind w:firstLine="480"/>
        <w:keepLines w:val="0"/>
        <w:keepNext w:val="0"/>
        <w:pageBreakBefore w:val="0"/>
        <w:spacing w:line="360"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、《预付款保函支付条款模板》</w:t>
      </w:r>
      <w:r/>
    </w:p>
    <w:p>
      <w:pPr>
        <w:ind w:firstLine="612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numPr>
          <w:ilvl w:val="0"/>
          <w:numId w:val="5"/>
        </w:numPr>
        <w:jc w:val="center"/>
        <w:spacing w:line="0" w:lineRule="atLeast"/>
        <w:rPr>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highlight w:val="none"/>
        </w:rPr>
      </w:r>
      <w:r/>
    </w:p>
    <w:p>
      <w:pPr>
        <w:numPr>
          <w:ilvl w:val="0"/>
          <w:numId w:val="5"/>
        </w:num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960"/>
        <w:tblW w:w="8883"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1"/>
        <w:gridCol w:w="1150"/>
        <w:gridCol w:w="6382"/>
      </w:tblGrid>
      <w:tr>
        <w:trPr>
          <w:jc w:val="center"/>
          <w:trHeight w:val="549"/>
        </w:trPr>
        <w:tc>
          <w:tcPr>
            <w:gridSpan w:val="2"/>
            <w:tcW w:w="2501" w:type="dxa"/>
            <w:vAlign w:val="center"/>
            <w:textDirection w:val="lrTb"/>
            <w:noWrap w:val="false"/>
          </w:tcPr>
          <w:p>
            <w:pPr>
              <w:pStyle w:val="1180"/>
              <w:jc w:val="center"/>
              <w:spacing w:line="240" w:lineRule="auto"/>
              <w:rPr>
                <w:rFonts w:hint="eastAsia" w:ascii="宋体" w:hAnsi="宋体" w:eastAsia="宋体" w:cs="宋体"/>
                <w:color w:val="auto"/>
                <w:szCs w:val="21"/>
                <w:highlight w:val="none"/>
              </w:rPr>
            </w:pPr>
            <w:r>
              <w:rPr>
                <w:rFonts w:hint="eastAsia" w:ascii="宋体" w:hAnsi="宋体" w:eastAsia="宋体" w:cs="宋体"/>
                <w:b/>
                <w:bCs/>
                <w:color w:val="auto"/>
                <w:sz w:val="28"/>
                <w:szCs w:val="28"/>
                <w:highlight w:val="none"/>
              </w:rPr>
              <w:t xml:space="preserve">评分内容</w:t>
            </w:r>
            <w:r/>
          </w:p>
        </w:tc>
        <w:tc>
          <w:tcPr>
            <w:tcW w:w="6382" w:type="dxa"/>
            <w:vAlign w:val="center"/>
            <w:textDirection w:val="lrTb"/>
            <w:noWrap w:val="false"/>
          </w:tcPr>
          <w:p>
            <w:pPr>
              <w:pStyle w:val="1180"/>
              <w:jc w:val="center"/>
              <w:spacing w:line="240" w:lineRule="auto"/>
              <w:rPr>
                <w:rFonts w:hint="eastAsia" w:ascii="宋体" w:hAnsi="宋体" w:eastAsia="宋体" w:cs="宋体"/>
                <w:color w:val="auto"/>
                <w:szCs w:val="21"/>
                <w:highlight w:val="none"/>
              </w:rPr>
            </w:pPr>
            <w:r>
              <w:rPr>
                <w:rFonts w:hint="eastAsia" w:ascii="宋体" w:hAnsi="宋体" w:eastAsia="宋体" w:cs="宋体"/>
                <w:b/>
                <w:bCs/>
                <w:color w:val="auto"/>
                <w:sz w:val="28"/>
                <w:szCs w:val="28"/>
                <w:highlight w:val="none"/>
              </w:rPr>
              <w:t xml:space="preserve">评分</w:t>
            </w:r>
            <w:r>
              <w:rPr>
                <w:rFonts w:hint="eastAsia" w:ascii="宋体" w:hAnsi="宋体" w:eastAsia="宋体" w:cs="宋体"/>
                <w:b/>
                <w:bCs/>
                <w:color w:val="auto"/>
                <w:sz w:val="28"/>
                <w:szCs w:val="28"/>
                <w:highlight w:val="none"/>
                <w:lang w:val="en-US" w:eastAsia="zh-CN"/>
              </w:rPr>
              <w:t xml:space="preserve">细则</w:t>
            </w:r>
            <w:r/>
          </w:p>
        </w:tc>
      </w:tr>
      <w:tr>
        <w:trPr>
          <w:jc w:val="center"/>
          <w:trHeight w:val="1577"/>
        </w:trPr>
        <w:tc>
          <w:tcPr>
            <w:gridSpan w:val="2"/>
            <w:tcW w:w="2501"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价格</w:t>
            </w:r>
            <w:r>
              <w:rPr>
                <w:rFonts w:hint="eastAsia" w:ascii="宋体" w:hAnsi="宋体" w:eastAsia="宋体" w:cs="宋体"/>
                <w:color w:val="auto"/>
                <w:sz w:val="24"/>
                <w:szCs w:val="24"/>
                <w:highlight w:val="none"/>
              </w:rPr>
              <w:t xml:space="preserve">（10分）</w:t>
            </w:r>
            <w:r/>
          </w:p>
        </w:tc>
        <w:tc>
          <w:tcPr>
            <w:tcW w:w="6382" w:type="dxa"/>
            <w:vAlign w:val="center"/>
            <w:textDirection w:val="lrTb"/>
            <w:noWrap w:val="false"/>
          </w:tcPr>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0</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注:得分四舍五入保留小数点后2位。</w:t>
            </w:r>
            <w:r/>
          </w:p>
        </w:tc>
      </w:tr>
      <w:tr>
        <w:trPr>
          <w:jc w:val="center"/>
          <w:trHeight w:val="1561"/>
        </w:trPr>
        <w:tc>
          <w:tcPr>
            <w:tcW w:w="1351" w:type="dxa"/>
            <w:vAlign w:val="center"/>
            <w:vMerge w:val="restart"/>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p>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1150" w:type="dxa"/>
            <w:vAlign w:val="center"/>
            <w:textDirection w:val="lrTb"/>
            <w:noWrap w:val="false"/>
          </w:tcPr>
          <w:p>
            <w:pPr>
              <w:pStyle w:val="991"/>
              <w:jc w:val="center"/>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p>
            <w:pPr>
              <w:pStyle w:val="991"/>
              <w:jc w:val="center"/>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numPr>
                <w:ilvl w:val="0"/>
                <w:numId w:val="0"/>
              </w:num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项目负责人具有水利工程专业高级工程师及以上职称</w:t>
            </w:r>
            <w:r>
              <w:rPr>
                <w:rFonts w:hint="eastAsia" w:ascii="宋体" w:hAnsi="宋体" w:cs="宋体"/>
                <w:color w:val="auto"/>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的白蚁防治员证书</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具有水利工程专业</w:t>
            </w:r>
            <w:r>
              <w:rPr>
                <w:rFonts w:hint="eastAsia" w:ascii="宋体" w:hAnsi="宋体" w:cs="宋体"/>
                <w:color w:val="auto"/>
                <w:sz w:val="24"/>
                <w:szCs w:val="24"/>
                <w:highlight w:val="none"/>
                <w:lang w:val="en-US" w:eastAsia="zh-CN" w:bidi="ar-SA"/>
              </w:rPr>
              <w:t xml:space="preserve">中级</w:t>
            </w:r>
            <w:r>
              <w:rPr>
                <w:rFonts w:hint="eastAsia" w:ascii="宋体" w:hAnsi="宋体" w:eastAsia="宋体" w:cs="宋体"/>
                <w:color w:val="auto"/>
                <w:sz w:val="24"/>
                <w:szCs w:val="24"/>
                <w:highlight w:val="none"/>
                <w:lang w:val="en-US" w:eastAsia="zh-CN" w:bidi="ar-SA"/>
              </w:rPr>
              <w:t xml:space="preserve">工程师及以上职称</w:t>
            </w:r>
            <w:r>
              <w:rPr>
                <w:rFonts w:hint="eastAsia" w:ascii="宋体" w:hAnsi="宋体" w:cs="宋体"/>
                <w:color w:val="auto"/>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的白蚁防治员证书</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numPr>
                <w:ilvl w:val="0"/>
                <w:numId w:val="0"/>
              </w:num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2.项目组其他主成员具备水利</w:t>
            </w:r>
            <w:r>
              <w:rPr>
                <w:rFonts w:hint="eastAsia" w:ascii="宋体" w:hAnsi="宋体" w:eastAsia="宋体" w:cs="宋体"/>
                <w:color w:val="auto"/>
                <w:sz w:val="24"/>
                <w:szCs w:val="24"/>
                <w:highlight w:val="none"/>
                <w:lang w:val="en-US" w:eastAsia="zh-CN"/>
              </w:rPr>
              <w:t xml:space="preserve">工程专业</w:t>
            </w:r>
            <w:r>
              <w:rPr>
                <w:rFonts w:hint="eastAsia" w:ascii="宋体" w:hAnsi="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rPr>
              <w:t xml:space="preserve">级工程师</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职称的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每有一位</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pStyle w:val="991"/>
              <w:jc w:val="left"/>
              <w:spacing w:beforeAutospacing="0" w:afterAutospacing="0"/>
              <w:tabs>
                <w:tab w:val="left" w:pos="475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rPr>
              <w:t xml:space="preserve">中提供相关证书</w:t>
            </w:r>
            <w:r>
              <w:rPr>
                <w:rFonts w:hint="eastAsia" w:ascii="宋体" w:hAnsi="宋体" w:cs="宋体"/>
                <w:color w:val="auto"/>
                <w:sz w:val="24"/>
                <w:szCs w:val="24"/>
                <w:highlight w:val="none"/>
                <w:lang w:eastAsia="zh-CN"/>
              </w:rPr>
              <w:t xml:space="preserve">原件的扫描件（彩色）</w:t>
            </w:r>
            <w:r>
              <w:rPr>
                <w:rFonts w:hint="eastAsia" w:ascii="宋体" w:hAnsi="宋体" w:eastAsia="宋体" w:cs="宋体"/>
                <w:color w:val="auto"/>
                <w:sz w:val="24"/>
                <w:szCs w:val="24"/>
                <w:highlight w:val="none"/>
              </w:rPr>
              <w:t xml:space="preserve">，不提供不得分。</w:t>
            </w:r>
            <w:r/>
          </w:p>
        </w:tc>
      </w:tr>
      <w:tr>
        <w:trPr>
          <w:jc w:val="center"/>
          <w:trHeight w:val="329"/>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991"/>
              <w:jc w:val="center"/>
              <w:spacing w:beforeAutospacing="0" w:afterAutospacing="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配备</w:t>
            </w:r>
            <w:r/>
          </w:p>
          <w:p>
            <w:pPr>
              <w:pStyle w:val="991"/>
              <w:jc w:val="center"/>
              <w:spacing w:beforeAutospacing="0" w:afterAutospacing="0"/>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（4分）</w:t>
            </w:r>
            <w:r/>
          </w:p>
        </w:tc>
        <w:tc>
          <w:tcPr>
            <w:tcW w:w="6382" w:type="dxa"/>
            <w:vAlign w:val="center"/>
            <w:textDirection w:val="lrTb"/>
            <w:noWrap w:val="false"/>
          </w:tcPr>
          <w:p>
            <w:pPr>
              <w:pStyle w:val="991"/>
              <w:jc w:val="left"/>
              <w:spacing w:beforeAutospacing="0" w:afterAutospacing="0"/>
              <w:tabs>
                <w:tab w:val="left" w:pos="4759"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项目团队配备有地质雷达、高密度电法仪、工程勘探与工程检测仪（地震仪）、地质B超系统的，每配备一种得1分，最高得4分。</w:t>
            </w:r>
            <w:r/>
          </w:p>
          <w:p>
            <w:pPr>
              <w:pStyle w:val="991"/>
              <w:jc w:val="left"/>
              <w:spacing w:beforeAutospacing="0" w:afterAutospacing="0"/>
              <w:tabs>
                <w:tab w:val="left" w:pos="4759"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注：响应文件中提供上述设备相关证明文件原件的扫描件（彩色），包括发票或租赁合同（合同有效期在服务期内）等。</w:t>
            </w:r>
            <w:r/>
          </w:p>
        </w:tc>
      </w:tr>
      <w:tr>
        <w:trPr>
          <w:jc w:val="center"/>
          <w:trHeight w:val="329"/>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991"/>
              <w:jc w:val="center"/>
              <w:spacing w:beforeAutospacing="0" w:afterAutospacing="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pStyle w:val="1177"/>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供应商具备有效的环境管理体系认证、质量管理体系认证、职业健康安全管理体系认证</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zh-CN"/>
              </w:rPr>
              <w:t xml:space="preserve">的，每提供一项得1分，本项最高得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w:t>
            </w:r>
            <w:r/>
          </w:p>
          <w:p>
            <w:pPr>
              <w:pStyle w:val="117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注：响应文件中提供上述证书</w:t>
            </w:r>
            <w:r>
              <w:rPr>
                <w:rFonts w:hint="eastAsia" w:hAnsi="宋体" w:cs="宋体"/>
                <w:color w:val="auto"/>
                <w:sz w:val="24"/>
                <w:szCs w:val="24"/>
                <w:highlight w:val="none"/>
                <w:lang w:eastAsia="zh-CN"/>
              </w:rPr>
              <w:t xml:space="preserve">原件的扫描件（彩色）</w:t>
            </w:r>
            <w:r>
              <w:rPr>
                <w:rFonts w:hint="eastAsia" w:ascii="宋体" w:hAnsi="宋体" w:eastAsia="宋体" w:cs="宋体"/>
                <w:color w:val="auto"/>
                <w:sz w:val="24"/>
                <w:szCs w:val="24"/>
                <w:highlight w:val="none"/>
                <w:lang w:eastAsia="zh-CN"/>
              </w:rPr>
              <w:t xml:space="preserve">及该证书在“国家市场监督管理总局-全国认证认可信息公共服务平台”网站查询到的有效认证截图方为有效。</w:t>
            </w:r>
            <w:r/>
          </w:p>
        </w:tc>
      </w:tr>
      <w:tr>
        <w:trPr>
          <w:jc w:val="center"/>
          <w:trHeight w:val="90"/>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pStyle w:val="1180"/>
              <w:jc w:val="cente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（4分）</w:t>
            </w:r>
            <w:r/>
          </w:p>
        </w:tc>
        <w:tc>
          <w:tcPr>
            <w:tcW w:w="6382" w:type="dxa"/>
            <w:vAlign w:val="center"/>
            <w:textDirection w:val="lrTb"/>
            <w:noWrap w:val="false"/>
          </w:tcPr>
          <w:p>
            <w:pPr>
              <w:pStyle w:val="1177"/>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需提供自202</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年1月1日以来（以合同签订时间为准）与本项目相同或类似项</w:t>
            </w:r>
            <w:r>
              <w:rPr>
                <w:rFonts w:hint="eastAsia" w:ascii="宋体" w:hAnsi="宋体" w:eastAsia="宋体" w:cs="宋体"/>
                <w:color w:val="auto"/>
                <w:sz w:val="24"/>
                <w:szCs w:val="24"/>
                <w:highlight w:val="none"/>
                <w:lang w:eastAsia="zh-CN"/>
              </w:rPr>
              <w:t xml:space="preserve">目的</w:t>
            </w:r>
            <w:r>
              <w:rPr>
                <w:rFonts w:hint="eastAsia" w:ascii="宋体" w:hAnsi="宋体" w:eastAsia="宋体" w:cs="宋体"/>
                <w:color w:val="auto"/>
                <w:sz w:val="24"/>
                <w:szCs w:val="24"/>
                <w:highlight w:val="none"/>
              </w:rPr>
              <w:t xml:space="preserve">业绩合同，每提供一个得</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分，最高4分。</w:t>
            </w:r>
            <w:r/>
          </w:p>
          <w:p>
            <w:pPr>
              <w:pStyle w:val="1177"/>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中提供</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原件</w:t>
            </w:r>
            <w:r>
              <w:rPr>
                <w:rFonts w:hint="eastAsia" w:hAnsi="宋体" w:cs="宋体"/>
                <w:color w:val="auto"/>
                <w:sz w:val="24"/>
                <w:szCs w:val="24"/>
                <w:highlight w:val="none"/>
                <w:lang w:eastAsia="zh-CN"/>
              </w:rPr>
              <w:t xml:space="preserve">原件的扫描件（彩色）</w:t>
            </w:r>
            <w:r>
              <w:rPr>
                <w:rFonts w:hint="eastAsia" w:ascii="宋体" w:hAnsi="宋体" w:eastAsia="宋体" w:cs="宋体"/>
                <w:color w:val="auto"/>
                <w:sz w:val="24"/>
                <w:szCs w:val="24"/>
                <w:highlight w:val="none"/>
                <w:lang w:val="en-US" w:eastAsia="zh-CN"/>
              </w:rPr>
              <w:t xml:space="preserve">，不提供或不符合要求均不得分</w:t>
            </w:r>
            <w:r>
              <w:rPr>
                <w:rFonts w:hint="eastAsia" w:ascii="宋体" w:hAnsi="宋体" w:eastAsia="宋体" w:cs="宋体"/>
                <w:color w:val="auto"/>
                <w:sz w:val="24"/>
                <w:szCs w:val="24"/>
                <w:highlight w:val="none"/>
              </w:rPr>
              <w:t xml:space="preserve">。</w:t>
            </w:r>
            <w:r/>
          </w:p>
        </w:tc>
      </w:tr>
      <w:tr>
        <w:trPr>
          <w:jc w:val="center"/>
          <w:trHeight w:val="90"/>
        </w:trPr>
        <w:tc>
          <w:tcPr>
            <w:tcW w:w="1351" w:type="dxa"/>
            <w:vAlign w:val="center"/>
            <w:vMerge w:val="restart"/>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71</w:t>
            </w:r>
            <w:r>
              <w:rPr>
                <w:rFonts w:hint="eastAsia" w:ascii="宋体" w:hAnsi="宋体" w:eastAsia="宋体" w:cs="宋体"/>
                <w:color w:val="auto"/>
                <w:sz w:val="24"/>
                <w:szCs w:val="24"/>
                <w:highlight w:val="none"/>
              </w:rPr>
              <w:t xml:space="preserve">分）</w:t>
            </w:r>
            <w:r/>
          </w:p>
        </w:tc>
        <w:tc>
          <w:tcPr>
            <w:tcW w:w="1150"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lang w:val="en-US" w:eastAsia="zh-CN"/>
              </w:rPr>
            </w:pPr>
            <w:r>
              <w:rPr>
                <w:rFonts w:ascii="宋体" w:hAnsi="宋体" w:eastAsia="宋体" w:cs="宋体"/>
                <w:bCs/>
                <w:color w:val="auto"/>
                <w:sz w:val="24"/>
                <w:szCs w:val="24"/>
                <w:highlight w:val="none"/>
                <w:lang w:val="zh-CN"/>
              </w:rPr>
              <w:t xml:space="preserve">项目的总体概述</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根据供应商针对本项目</w:t>
            </w:r>
            <w:r>
              <w:rPr>
                <w:rFonts w:hint="eastAsia" w:ascii="宋体" w:hAnsi="宋体" w:eastAsia="宋体" w:cs="宋体"/>
                <w:bCs/>
                <w:color w:val="auto"/>
                <w:sz w:val="24"/>
                <w:szCs w:val="24"/>
                <w:highlight w:val="none"/>
              </w:rPr>
              <w:t xml:space="preserve">特点、地理位置、生态环境和气候特征等进行合理阐述</w:t>
            </w:r>
            <w:r>
              <w:rPr>
                <w:rFonts w:hint="eastAsia" w:ascii="宋体" w:hAnsi="宋体" w:eastAsia="宋体" w:cs="宋体"/>
                <w:bCs/>
                <w:color w:val="auto"/>
                <w:sz w:val="24"/>
                <w:szCs w:val="24"/>
                <w:highlight w:val="none"/>
                <w:lang w:val="en-US" w:eastAsia="zh-CN"/>
              </w:rPr>
              <w:t xml:space="preserve">分析</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进行综合打分。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分，最低不得分。</w:t>
            </w:r>
            <w:r/>
          </w:p>
        </w:tc>
      </w:tr>
      <w:tr>
        <w:trPr>
          <w:jc w:val="center"/>
          <w:trHeight w:val="2710"/>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rFonts w:ascii="宋体" w:hAnsi="宋体" w:eastAsia="宋体" w:cs="宋体"/>
                <w:bCs/>
                <w:color w:val="auto"/>
                <w:sz w:val="24"/>
                <w:szCs w:val="24"/>
                <w:highlight w:val="none"/>
              </w:rPr>
              <w:t xml:space="preserve">实施方案</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根据供应商提供针对本项目的</w:t>
            </w:r>
            <w:r>
              <w:rPr>
                <w:rFonts w:ascii="宋体" w:hAnsi="宋体" w:eastAsia="宋体" w:cs="宋体"/>
                <w:bCs/>
                <w:color w:val="auto"/>
                <w:sz w:val="24"/>
                <w:szCs w:val="24"/>
                <w:highlight w:val="none"/>
                <w:lang w:val="zh-CN"/>
              </w:rPr>
              <w:t xml:space="preserve">实施计划</w:t>
            </w:r>
            <w:r>
              <w:rPr>
                <w:rFonts w:hint="eastAsia" w:ascii="宋体" w:hAnsi="宋体" w:eastAsia="宋体" w:cs="宋体"/>
                <w:bCs/>
                <w:color w:val="auto"/>
                <w:sz w:val="24"/>
                <w:szCs w:val="24"/>
                <w:highlight w:val="none"/>
                <w:lang w:val="zh-CN"/>
              </w:rPr>
              <w:t xml:space="preserve">、</w:t>
            </w:r>
            <w:r>
              <w:rPr>
                <w:rFonts w:ascii="宋体" w:hAnsi="宋体" w:eastAsia="宋体" w:cs="宋体"/>
                <w:bCs/>
                <w:color w:val="auto"/>
                <w:sz w:val="24"/>
                <w:szCs w:val="24"/>
                <w:highlight w:val="none"/>
                <w:lang w:val="zh-CN"/>
              </w:rPr>
              <w:t xml:space="preserve">总体实施方案</w:t>
            </w:r>
            <w:r>
              <w:rPr>
                <w:rFonts w:hint="eastAsia" w:ascii="宋体" w:hAnsi="宋体" w:eastAsia="宋体" w:cs="宋体"/>
                <w:color w:val="auto"/>
                <w:sz w:val="24"/>
                <w:szCs w:val="24"/>
                <w:highlight w:val="none"/>
              </w:rPr>
              <w:t xml:space="preserve">进行综合打分。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分，最低不得分。</w:t>
            </w:r>
            <w:r/>
          </w:p>
        </w:tc>
      </w:tr>
      <w:tr>
        <w:trPr>
          <w:jc w:val="center"/>
          <w:trHeight w:val="2710"/>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rPr>
                <w:rFonts w:hint="eastAsia" w:ascii="宋体" w:hAnsi="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保障措施（10分）</w:t>
            </w:r>
            <w:r/>
          </w:p>
        </w:tc>
        <w:tc>
          <w:tcPr>
            <w:tcW w:w="6382" w:type="dxa"/>
            <w:vAlign w:val="center"/>
            <w:textDirection w:val="lrTb"/>
            <w:noWrap w:val="false"/>
          </w:tcPr>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根据供应商针对本项目</w:t>
            </w:r>
            <w:r>
              <w:rPr>
                <w:rFonts w:hint="eastAsia" w:ascii="宋体" w:hAnsi="宋体" w:cs="宋体"/>
                <w:color w:val="auto"/>
                <w:sz w:val="24"/>
                <w:szCs w:val="24"/>
                <w:highlight w:val="none"/>
                <w:lang w:val="en-US" w:eastAsia="zh-CN"/>
              </w:rPr>
              <w:t xml:space="preserve">的</w:t>
            </w:r>
            <w:r>
              <w:rPr>
                <w:rFonts w:ascii="宋体" w:hAnsi="宋体" w:eastAsia="宋体" w:cs="宋体"/>
                <w:bCs/>
                <w:color w:val="auto"/>
                <w:sz w:val="24"/>
                <w:szCs w:val="24"/>
                <w:highlight w:val="none"/>
              </w:rPr>
              <w:t xml:space="preserve">白蚁等害堤动物调查现场情况，对安全、质量提出相关方案及措施</w:t>
            </w:r>
            <w:r>
              <w:rPr>
                <w:rFonts w:hint="eastAsia" w:ascii="宋体" w:hAnsi="宋体" w:eastAsia="宋体" w:cs="宋体"/>
                <w:color w:val="auto"/>
                <w:sz w:val="24"/>
                <w:szCs w:val="24"/>
                <w:highlight w:val="none"/>
              </w:rPr>
              <w:t xml:space="preserve">进行综合打分。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jc w:val="center"/>
          <w:trHeight w:val="2710"/>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安全</w:t>
            </w:r>
            <w:r>
              <w:rPr>
                <w:rFonts w:hint="eastAsia" w:ascii="宋体" w:hAnsi="宋体" w:eastAsia="宋体" w:cs="宋体"/>
                <w:color w:val="auto"/>
                <w:sz w:val="24"/>
                <w:szCs w:val="24"/>
                <w:highlight w:val="none"/>
              </w:rPr>
              <w:t xml:space="preserve">风险防控应急预案及对策（</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根据供应商提供针对本项目的</w:t>
            </w:r>
            <w:r>
              <w:rPr>
                <w:rFonts w:hint="eastAsia" w:ascii="宋体" w:hAnsi="宋体" w:cs="宋体"/>
                <w:color w:val="auto"/>
                <w:sz w:val="24"/>
                <w:szCs w:val="24"/>
                <w:highlight w:val="none"/>
                <w:lang w:val="en-US" w:eastAsia="zh-CN"/>
              </w:rPr>
              <w:t xml:space="preserve">安全</w:t>
            </w:r>
            <w:r>
              <w:rPr>
                <w:rFonts w:hint="eastAsia" w:ascii="宋体" w:hAnsi="宋体" w:eastAsia="宋体" w:cs="宋体"/>
                <w:color w:val="auto"/>
                <w:sz w:val="24"/>
                <w:szCs w:val="24"/>
                <w:highlight w:val="none"/>
              </w:rPr>
              <w:t xml:space="preserve">风险防控应急预案及对策进行综合打分。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jc w:val="center"/>
          <w:trHeight w:val="2710"/>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ascii="宋体" w:hAnsi="宋体" w:eastAsia="宋体" w:cs="宋体"/>
                <w:bCs/>
                <w:color w:val="auto"/>
                <w:sz w:val="24"/>
                <w:szCs w:val="24"/>
                <w:highlight w:val="none"/>
                <w:lang w:val="zh-CN"/>
              </w:rPr>
              <w:t xml:space="preserve">重难点分析及解决措施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根据供应商针对本项目</w:t>
            </w:r>
            <w:r>
              <w:rPr>
                <w:rFonts w:hint="eastAsia" w:ascii="宋体" w:hAnsi="宋体" w:cs="宋体"/>
                <w:color w:val="auto"/>
                <w:sz w:val="24"/>
                <w:szCs w:val="24"/>
                <w:highlight w:val="none"/>
                <w:lang w:val="en-US" w:eastAsia="zh-CN"/>
              </w:rPr>
              <w:t xml:space="preserve">的</w:t>
            </w:r>
            <w:r>
              <w:rPr>
                <w:rFonts w:ascii="宋体" w:hAnsi="宋体" w:eastAsia="宋体" w:cs="宋体"/>
                <w:bCs/>
                <w:color w:val="auto"/>
                <w:sz w:val="24"/>
                <w:szCs w:val="24"/>
                <w:highlight w:val="none"/>
                <w:lang w:val="zh-CN"/>
              </w:rPr>
              <w:t xml:space="preserve">重难点分析及解决措施</w:t>
            </w:r>
            <w:r>
              <w:rPr>
                <w:rFonts w:hint="eastAsia" w:ascii="宋体" w:hAnsi="宋体" w:eastAsia="宋体" w:cs="宋体"/>
                <w:bCs/>
                <w:color w:val="auto"/>
                <w:sz w:val="24"/>
                <w:szCs w:val="24"/>
                <w:highlight w:val="none"/>
                <w:lang w:val="zh-CN"/>
              </w:rPr>
              <w:t xml:space="preserve">，</w:t>
            </w:r>
            <w:r>
              <w:rPr>
                <w:rFonts w:ascii="宋体" w:hAnsi="宋体" w:eastAsia="宋体" w:cs="宋体"/>
                <w:bCs/>
                <w:color w:val="auto"/>
                <w:sz w:val="24"/>
                <w:szCs w:val="24"/>
                <w:highlight w:val="none"/>
                <w:lang w:val="zh-CN"/>
              </w:rPr>
              <w:t xml:space="preserve">对白蚁等害堤动物调查过程中重点、难点及关键过程分析</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进行综合打分。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jc w:val="center"/>
          <w:trHeight w:val="509"/>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ascii="宋体" w:hAnsi="宋体" w:eastAsia="宋体" w:cs="宋体"/>
                <w:bCs/>
                <w:color w:val="auto"/>
                <w:sz w:val="24"/>
                <w:szCs w:val="24"/>
                <w:highlight w:val="none"/>
                <w:lang w:val="zh-CN"/>
              </w:rPr>
              <w:t xml:space="preserve">档案、资料管理制度</w:t>
            </w:r>
            <w:r>
              <w:rPr>
                <w:rFonts w:hint="eastAsia" w:ascii="宋体" w:hAnsi="宋体" w:cs="宋体"/>
                <w:bCs/>
                <w:color w:val="auto"/>
                <w:sz w:val="24"/>
                <w:szCs w:val="24"/>
                <w:highlight w:val="none"/>
                <w:lang w:val="en-US" w:eastAsia="zh-CN"/>
              </w:rPr>
              <w:t xml:space="preserve">及</w:t>
            </w:r>
            <w:r>
              <w:rPr>
                <w:rFonts w:ascii="宋体" w:hAnsi="宋体" w:eastAsia="宋体" w:cs="宋体"/>
                <w:bCs/>
                <w:color w:val="auto"/>
                <w:sz w:val="24"/>
                <w:szCs w:val="24"/>
                <w:highlight w:val="none"/>
                <w:lang w:val="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根据供应商针对本项目</w:t>
            </w:r>
            <w:r>
              <w:rPr>
                <w:rFonts w:hint="eastAsia" w:ascii="宋体" w:hAnsi="宋体" w:cs="宋体"/>
                <w:color w:val="auto"/>
                <w:sz w:val="24"/>
                <w:szCs w:val="24"/>
                <w:highlight w:val="none"/>
                <w:lang w:val="en-US" w:eastAsia="zh-CN"/>
              </w:rPr>
              <w:t xml:space="preserve">的</w:t>
            </w:r>
            <w:r>
              <w:rPr>
                <w:rFonts w:ascii="宋体" w:hAnsi="宋体" w:eastAsia="宋体" w:cs="宋体"/>
                <w:bCs/>
                <w:color w:val="auto"/>
                <w:sz w:val="24"/>
                <w:szCs w:val="24"/>
                <w:highlight w:val="none"/>
                <w:lang w:val="zh-CN"/>
              </w:rPr>
              <w:t xml:space="preserve">档案、资料管理制度</w:t>
            </w:r>
            <w:r>
              <w:rPr>
                <w:rFonts w:hint="eastAsia" w:ascii="宋体" w:hAnsi="宋体" w:cs="宋体"/>
                <w:bCs/>
                <w:color w:val="auto"/>
                <w:sz w:val="24"/>
                <w:szCs w:val="24"/>
                <w:highlight w:val="none"/>
                <w:lang w:val="en-US" w:eastAsia="zh-CN"/>
              </w:rPr>
              <w:t xml:space="preserve">及</w:t>
            </w:r>
            <w:r>
              <w:rPr>
                <w:rFonts w:ascii="宋体" w:hAnsi="宋体" w:eastAsia="宋体" w:cs="宋体"/>
                <w:bCs/>
                <w:color w:val="auto"/>
                <w:sz w:val="24"/>
                <w:szCs w:val="24"/>
                <w:highlight w:val="none"/>
                <w:lang w:val="zh-CN"/>
              </w:rPr>
              <w:t xml:space="preserve">方案</w:t>
            </w:r>
            <w:r>
              <w:rPr>
                <w:rFonts w:hint="eastAsia" w:ascii="宋体" w:hAnsi="宋体" w:eastAsia="宋体" w:cs="宋体"/>
                <w:color w:val="auto"/>
                <w:sz w:val="24"/>
                <w:szCs w:val="24"/>
                <w:highlight w:val="none"/>
              </w:rPr>
              <w:t xml:space="preserve">进行综合打分。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分；不太合理的得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分，最低不得分。</w:t>
            </w:r>
            <w:r/>
          </w:p>
        </w:tc>
      </w:tr>
      <w:tr>
        <w:trPr>
          <w:jc w:val="center"/>
          <w:trHeight w:val="2710"/>
        </w:trPr>
        <w:tc>
          <w:tcPr>
            <w:tcW w:w="1351" w:type="dxa"/>
            <w:vAlign w:val="center"/>
            <w:vMerge w:val="continue"/>
            <w:textDirection w:val="lrTb"/>
            <w:noWrap w:val="false"/>
          </w:tcPr>
          <w:p>
            <w:pPr>
              <w:pStyle w:val="118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50" w:type="dxa"/>
            <w:vAlign w:val="center"/>
            <w:textDirection w:val="lrTb"/>
            <w:noWrap w:val="false"/>
          </w:tcPr>
          <w:p>
            <w:pPr>
              <w:pStyle w:val="1180"/>
              <w:jc w:val="center"/>
              <w:spacing w:line="240" w:lineRule="auto"/>
              <w:rPr>
                <w:rFonts w:hint="default" w:ascii="宋体" w:hAnsi="宋体" w:eastAsia="宋体" w:cs="宋体"/>
                <w:color w:val="auto"/>
                <w:sz w:val="24"/>
                <w:szCs w:val="24"/>
                <w:highlight w:val="none"/>
                <w:lang w:val="en-US" w:eastAsia="zh-CN"/>
              </w:rPr>
            </w:pPr>
            <w:r>
              <w:rPr>
                <w:rFonts w:ascii="宋体" w:hAnsi="宋体" w:eastAsia="宋体" w:cs="宋体"/>
                <w:bCs/>
                <w:color w:val="auto"/>
                <w:sz w:val="24"/>
                <w:szCs w:val="24"/>
                <w:highlight w:val="none"/>
                <w:lang w:val="zh-CN"/>
              </w:rPr>
              <w:t xml:space="preserve">响应方案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6382" w:type="dxa"/>
            <w:vAlign w:val="center"/>
            <w:textDirection w:val="lrTb"/>
            <w:noWrap w:val="false"/>
          </w:tcPr>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根据供应商针对本项目</w:t>
            </w:r>
            <w:r>
              <w:rPr>
                <w:rFonts w:hint="eastAsia" w:ascii="宋体" w:hAnsi="宋体" w:cs="宋体"/>
                <w:color w:val="auto"/>
                <w:sz w:val="24"/>
                <w:szCs w:val="24"/>
                <w:highlight w:val="none"/>
                <w:lang w:val="en-US" w:eastAsia="zh-CN"/>
              </w:rPr>
              <w:t xml:space="preserve">的</w:t>
            </w:r>
            <w:r>
              <w:rPr>
                <w:rFonts w:ascii="宋体" w:hAnsi="宋体" w:eastAsia="宋体" w:cs="宋体"/>
                <w:bCs/>
                <w:color w:val="auto"/>
                <w:sz w:val="24"/>
                <w:szCs w:val="24"/>
                <w:highlight w:val="none"/>
                <w:lang w:val="zh-CN"/>
              </w:rPr>
              <w:t xml:space="preserve">响应方案</w:t>
            </w:r>
            <w:r>
              <w:rPr>
                <w:rFonts w:hint="eastAsia" w:ascii="宋体" w:hAnsi="宋体" w:eastAsia="宋体" w:cs="宋体"/>
                <w:bCs/>
                <w:color w:val="auto"/>
                <w:sz w:val="24"/>
                <w:szCs w:val="24"/>
                <w:highlight w:val="none"/>
                <w:lang w:val="en-US" w:eastAsia="zh-CN"/>
              </w:rPr>
              <w:t xml:space="preserve">包括</w:t>
            </w:r>
            <w:r>
              <w:rPr>
                <w:rFonts w:ascii="宋体" w:hAnsi="宋体" w:eastAsia="宋体" w:cs="宋体"/>
                <w:bCs/>
                <w:color w:val="auto"/>
                <w:sz w:val="24"/>
                <w:szCs w:val="24"/>
                <w:highlight w:val="none"/>
                <w:lang w:val="zh-CN"/>
              </w:rPr>
              <w:t xml:space="preserve">服务承诺、实现承诺的依据及措施</w:t>
            </w:r>
            <w:r>
              <w:rPr>
                <w:rFonts w:hint="eastAsia" w:ascii="宋体" w:hAnsi="宋体" w:eastAsia="宋体" w:cs="宋体"/>
                <w:bCs/>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进行综合打分。</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合理性(</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分)：合理得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分；较合理得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分；基本满足的得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24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分)：针对性强得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分；针对性较强得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分；针对性一般的得</w:t>
            </w:r>
            <w:r>
              <w:rPr>
                <w:rFonts w:hint="eastAsia" w:ascii="宋体" w:hAnsi="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p>
            <w:pP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分)：符合实际切实可行得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分；较切实可行得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szCs w:val="24"/>
                <w:highlight w:val="none"/>
              </w:rPr>
              <w:t xml:space="preserve">可行性欠缺得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p>
          <w:p>
            <w:pPr>
              <w:jc w:val="both"/>
              <w:spacing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未提供的不得分。最高得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分，最低不得分。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说明：本项目采用综合评分法，保留两位小数。</w:t>
      </w:r>
      <w:r/>
    </w:p>
    <w:p>
      <w:pPr>
        <w:pStyle w:val="1013"/>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rPr>
          <w:rFonts w:hint="eastAsia" w:ascii="宋体" w:hAnsi="宋体" w:cs="宋体"/>
          <w:b/>
          <w:bCs/>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2、项目要求（采购需求）</w:t>
      </w:r>
      <w:r/>
    </w:p>
    <w:p>
      <w:pPr>
        <w:keepLines w:val="0"/>
        <w:keepNext w:val="0"/>
        <w:pageBreakBefore w:val="0"/>
        <w:spacing w:line="360" w:lineRule="auto"/>
        <w:rPr>
          <w:rFonts w:hint="eastAsia" w:ascii="宋体" w:hAnsi="宋体" w:cs="宋体"/>
          <w:b/>
          <w:bCs/>
          <w:color w:val="auto"/>
          <w:sz w:val="24"/>
          <w:highlight w:val="none"/>
        </w:rPr>
        <w:outlineLvl w:val="9"/>
      </w:pPr>
      <w:r>
        <w:rPr>
          <w:rFonts w:hint="eastAsia" w:ascii="宋体" w:hAnsi="宋体" w:cs="宋体"/>
          <w:b/>
          <w:bCs/>
          <w:color w:val="auto"/>
          <w:sz w:val="24"/>
          <w:highlight w:val="none"/>
        </w:rPr>
      </w:r>
      <w:r/>
    </w:p>
    <w:p>
      <w:pPr>
        <w:spacing w:line="360" w:lineRule="auto"/>
        <w:rPr>
          <w:rStyle w:val="1183"/>
          <w:rFonts w:hint="eastAsia" w:ascii="宋体" w:hAnsi="宋体" w:eastAsia="宋体" w:cs="宋体"/>
          <w:b/>
          <w:bCs/>
          <w:szCs w:val="28"/>
          <w:highlight w:val="none"/>
        </w:rPr>
      </w:pPr>
      <w:r>
        <w:rPr>
          <w:rStyle w:val="1183"/>
          <w:rFonts w:hint="eastAsia" w:ascii="宋体" w:hAnsi="宋体" w:eastAsia="宋体" w:cs="宋体"/>
          <w:b/>
          <w:bCs/>
          <w:szCs w:val="28"/>
          <w:highlight w:val="none"/>
        </w:rPr>
        <w:t xml:space="preserve">一、本项目预算金额</w:t>
      </w:r>
      <w:r>
        <w:rPr>
          <w:rStyle w:val="1183"/>
          <w:rFonts w:hint="eastAsia" w:ascii="宋体" w:hAnsi="宋体" w:eastAsia="宋体" w:cs="宋体"/>
          <w:b/>
          <w:bCs/>
          <w:szCs w:val="28"/>
          <w:highlight w:val="none"/>
          <w:lang w:val="en-US"/>
        </w:rPr>
        <w:t xml:space="preserve">:</w:t>
      </w:r>
      <w:r>
        <w:rPr>
          <w:rStyle w:val="1183"/>
          <w:rFonts w:hint="eastAsia" w:ascii="宋体" w:hAnsi="宋体" w:eastAsia="宋体" w:cs="宋体"/>
          <w:b/>
          <w:bCs/>
          <w:szCs w:val="28"/>
          <w:highlight w:val="none"/>
        </w:rPr>
        <w:t xml:space="preserve">人民币90.00万元，最高限价</w:t>
      </w:r>
      <w:r>
        <w:rPr>
          <w:rStyle w:val="1183"/>
          <w:rFonts w:hint="eastAsia" w:ascii="宋体" w:hAnsi="宋体" w:eastAsia="宋体" w:cs="宋体"/>
          <w:b/>
          <w:bCs/>
          <w:szCs w:val="28"/>
          <w:highlight w:val="none"/>
          <w:lang w:val="en-US"/>
        </w:rPr>
        <w:t xml:space="preserve">:</w:t>
      </w:r>
      <w:r>
        <w:rPr>
          <w:rStyle w:val="1183"/>
          <w:rFonts w:hint="eastAsia" w:ascii="宋体" w:hAnsi="宋体" w:eastAsia="宋体" w:cs="宋体"/>
          <w:b/>
          <w:bCs/>
          <w:szCs w:val="28"/>
          <w:highlight w:val="none"/>
        </w:rPr>
        <w:t xml:space="preserve">人民币</w:t>
      </w:r>
      <w:r>
        <w:rPr>
          <w:rStyle w:val="1183"/>
          <w:rFonts w:hint="eastAsia" w:ascii="宋体" w:hAnsi="宋体" w:eastAsia="宋体" w:cs="宋体"/>
          <w:b/>
          <w:bCs/>
          <w:szCs w:val="28"/>
          <w:highlight w:val="none"/>
          <w:lang w:val="en-US"/>
        </w:rPr>
        <w:t xml:space="preserve">88</w:t>
      </w:r>
      <w:r>
        <w:rPr>
          <w:rStyle w:val="1183"/>
          <w:rFonts w:hint="eastAsia" w:ascii="宋体" w:hAnsi="宋体" w:eastAsia="宋体" w:cs="宋体"/>
          <w:b/>
          <w:bCs/>
          <w:szCs w:val="28"/>
          <w:highlight w:val="none"/>
        </w:rPr>
        <w:t xml:space="preserve">.00万元。本项目不接受超过最高限价的投标报价。</w:t>
      </w:r>
      <w:r/>
    </w:p>
    <w:p>
      <w:pP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报价包含项目完成所需全部费用（含税费），采购人不再支付报价以外的任何费用。</w:t>
      </w:r>
      <w:r/>
    </w:p>
    <w:p>
      <w:pPr>
        <w:spacing w:line="360" w:lineRule="auto"/>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、项目概况</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1、项目名称：铜山区2025年度河道堤防、小水库白蚁等害堤动物检查服务</w:t>
      </w:r>
      <w:r/>
    </w:p>
    <w:p>
      <w:pPr>
        <w:ind w:firstLine="480"/>
        <w:spacing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lang w:val="en-US" w:eastAsia="zh-CN"/>
        </w:rPr>
        <w:t xml:space="preserve">、项目地点：</w:t>
      </w:r>
      <w:r>
        <w:rPr>
          <w:rFonts w:hint="eastAsia" w:ascii="宋体" w:hAnsi="宋体" w:cs="宋体"/>
          <w:sz w:val="28"/>
          <w:szCs w:val="28"/>
          <w:highlight w:val="none"/>
          <w:lang w:val="en-US" w:eastAsia="zh-CN"/>
        </w:rPr>
        <w:t xml:space="preserve">徐州市</w:t>
      </w:r>
      <w:r>
        <w:rPr>
          <w:rFonts w:hint="eastAsia" w:ascii="宋体" w:hAnsi="宋体" w:eastAsia="宋体" w:cs="宋体"/>
          <w:sz w:val="28"/>
          <w:szCs w:val="28"/>
          <w:highlight w:val="none"/>
          <w:lang w:eastAsia="zh-CN"/>
        </w:rPr>
        <w:t xml:space="preserve">铜山区</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lang w:val="en-US" w:eastAsia="zh-CN"/>
        </w:rPr>
        <w:t xml:space="preserve">、服务期：自合同签订之日起至11月30日完成对选定水库大坝和河道堤防的现场检查工作；12月31日前完成检查报告的编制、成果报告提交验收。</w:t>
      </w:r>
      <w:r/>
    </w:p>
    <w:p>
      <w:pPr>
        <w:ind w:firstLine="480"/>
        <w:spacing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lang w:val="en-US" w:eastAsia="zh-CN"/>
        </w:rPr>
        <w:t xml:space="preserve">、</w:t>
      </w:r>
      <w:r>
        <w:rPr>
          <w:rFonts w:hint="eastAsia" w:ascii="宋体" w:hAnsi="宋体" w:cs="宋体"/>
          <w:sz w:val="28"/>
          <w:szCs w:val="28"/>
          <w:highlight w:val="none"/>
          <w:lang w:val="en-US" w:eastAsia="zh-CN"/>
        </w:rPr>
        <w:t xml:space="preserve">项目内容</w:t>
      </w:r>
      <w:r>
        <w:rPr>
          <w:rFonts w:hint="eastAsia" w:ascii="宋体" w:hAnsi="宋体" w:eastAsia="宋体" w:cs="宋体"/>
          <w:sz w:val="28"/>
          <w:szCs w:val="28"/>
          <w:highlight w:val="none"/>
          <w:lang w:val="en-US" w:eastAsia="zh-CN"/>
        </w:rPr>
        <w:t xml:space="preserve">：根据《江苏省财政厅江苏省水利厅关于下达2025年第二批省以上水利发展资金预算的通知》（苏财农〔2025〕33号），</w:t>
      </w:r>
      <w:r>
        <w:rPr>
          <w:rFonts w:hint="eastAsia" w:ascii="宋体" w:hAnsi="宋体" w:cs="宋体"/>
          <w:sz w:val="28"/>
          <w:szCs w:val="28"/>
          <w:highlight w:val="none"/>
          <w:lang w:val="en-US" w:eastAsia="zh-CN"/>
        </w:rPr>
        <w:t xml:space="preserve">对</w:t>
      </w:r>
      <w:r>
        <w:rPr>
          <w:rFonts w:hint="eastAsia" w:ascii="宋体" w:hAnsi="宋体" w:eastAsia="宋体" w:cs="宋体"/>
          <w:sz w:val="28"/>
          <w:szCs w:val="28"/>
          <w:highlight w:val="none"/>
          <w:lang w:val="en-US" w:eastAsia="zh-CN"/>
        </w:rPr>
        <w:t xml:space="preserve">铜山区15座小型水库和762.1km河道堤防为白蚁等害堤动物危害检查</w:t>
      </w:r>
      <w:r>
        <w:rPr>
          <w:rFonts w:hint="eastAsia" w:ascii="宋体" w:hAnsi="宋体" w:cs="宋体"/>
          <w:sz w:val="28"/>
          <w:szCs w:val="28"/>
          <w:highlight w:val="none"/>
          <w:lang w:val="en-US" w:eastAsia="zh-CN"/>
        </w:rPr>
        <w:t xml:space="preserve">及水库河道堤防基本情况调查2轮</w:t>
      </w:r>
      <w:r>
        <w:rPr>
          <w:rFonts w:hint="eastAsia" w:ascii="宋体" w:hAnsi="宋体" w:eastAsia="宋体" w:cs="宋体"/>
          <w:sz w:val="28"/>
          <w:szCs w:val="28"/>
          <w:highlight w:val="none"/>
          <w:lang w:val="en-US" w:eastAsia="zh-CN"/>
        </w:rPr>
        <w:t xml:space="preserve">，根据</w:t>
      </w:r>
      <w:r>
        <w:rPr>
          <w:rFonts w:hint="eastAsia" w:ascii="宋体" w:hAnsi="宋体" w:cs="宋体"/>
          <w:sz w:val="28"/>
          <w:szCs w:val="28"/>
          <w:highlight w:val="none"/>
          <w:lang w:val="en-US" w:eastAsia="zh-CN"/>
        </w:rPr>
        <w:t xml:space="preserve">调查、</w:t>
      </w:r>
      <w:r>
        <w:rPr>
          <w:rFonts w:hint="eastAsia" w:ascii="宋体" w:hAnsi="宋体" w:eastAsia="宋体" w:cs="宋体"/>
          <w:sz w:val="28"/>
          <w:szCs w:val="28"/>
          <w:highlight w:val="none"/>
          <w:lang w:val="en-US" w:eastAsia="zh-CN"/>
        </w:rPr>
        <w:t xml:space="preserve">检查结果编写</w:t>
      </w:r>
      <w:r>
        <w:rPr>
          <w:rFonts w:hint="eastAsia" w:ascii="宋体" w:hAnsi="宋体" w:cs="宋体"/>
          <w:sz w:val="28"/>
          <w:szCs w:val="28"/>
          <w:highlight w:val="none"/>
          <w:lang w:val="en-US" w:eastAsia="zh-CN"/>
        </w:rPr>
        <w:t xml:space="preserve">水库河道堤防基本情况调查报告、</w:t>
      </w:r>
      <w:r>
        <w:rPr>
          <w:rFonts w:hint="eastAsia" w:ascii="宋体" w:hAnsi="宋体" w:eastAsia="宋体" w:cs="宋体"/>
          <w:sz w:val="28"/>
          <w:szCs w:val="28"/>
          <w:highlight w:val="none"/>
          <w:lang w:val="en-US" w:eastAsia="zh-CN"/>
        </w:rPr>
        <w:t xml:space="preserve">白蚁等害堤动物危害检查</w:t>
      </w:r>
      <w:r>
        <w:rPr>
          <w:rFonts w:hint="eastAsia" w:ascii="宋体" w:hAnsi="宋体" w:cs="宋体"/>
          <w:sz w:val="28"/>
          <w:szCs w:val="28"/>
          <w:highlight w:val="none"/>
          <w:lang w:val="en-US" w:eastAsia="zh-CN"/>
        </w:rPr>
        <w:t xml:space="preserve">项目工作</w:t>
      </w:r>
      <w:r>
        <w:rPr>
          <w:rFonts w:hint="eastAsia" w:ascii="宋体" w:hAnsi="宋体" w:eastAsia="宋体" w:cs="宋体"/>
          <w:sz w:val="28"/>
          <w:szCs w:val="28"/>
          <w:highlight w:val="none"/>
          <w:lang w:val="en-US" w:eastAsia="zh-CN"/>
        </w:rPr>
        <w:t xml:space="preserve">报告</w:t>
      </w:r>
      <w:r>
        <w:rPr>
          <w:rFonts w:hint="eastAsia" w:ascii="宋体" w:hAnsi="宋体" w:cs="宋体"/>
          <w:sz w:val="28"/>
          <w:szCs w:val="28"/>
          <w:highlight w:val="none"/>
          <w:lang w:val="en-US" w:eastAsia="zh-CN"/>
        </w:rPr>
        <w:t xml:space="preserve">共计2个报告；并对</w:t>
      </w:r>
      <w:r>
        <w:rPr>
          <w:rFonts w:hint="eastAsia" w:ascii="宋体" w:hAnsi="宋体" w:eastAsia="宋体" w:cs="宋体"/>
          <w:sz w:val="28"/>
          <w:szCs w:val="28"/>
          <w:highlight w:val="none"/>
          <w:lang w:val="en-US" w:eastAsia="zh-CN"/>
        </w:rPr>
        <w:t xml:space="preserve">白蚁等害堤动物</w:t>
      </w:r>
      <w:r>
        <w:rPr>
          <w:rFonts w:hint="eastAsia" w:ascii="宋体" w:hAnsi="宋体" w:cs="宋体"/>
          <w:sz w:val="28"/>
          <w:szCs w:val="28"/>
          <w:highlight w:val="none"/>
          <w:lang w:val="en-US" w:eastAsia="zh-CN"/>
        </w:rPr>
        <w:t xml:space="preserve">进行</w:t>
      </w:r>
      <w:r>
        <w:rPr>
          <w:rFonts w:hint="eastAsia" w:ascii="宋体" w:hAnsi="宋体" w:eastAsia="宋体" w:cs="宋体"/>
          <w:sz w:val="28"/>
          <w:szCs w:val="28"/>
          <w:highlight w:val="none"/>
          <w:lang w:val="en-US" w:eastAsia="zh-CN"/>
        </w:rPr>
        <w:t xml:space="preserve">治理</w:t>
      </w:r>
      <w:r>
        <w:rPr>
          <w:rFonts w:hint="eastAsia" w:ascii="宋体" w:hAnsi="宋体" w:cs="宋体"/>
          <w:sz w:val="28"/>
          <w:szCs w:val="28"/>
          <w:highlight w:val="none"/>
          <w:lang w:val="en-US" w:eastAsia="zh-CN"/>
        </w:rPr>
        <w:t xml:space="preserve">、监测等</w:t>
      </w:r>
      <w:r>
        <w:rPr>
          <w:rFonts w:hint="eastAsia" w:ascii="宋体" w:hAnsi="宋体" w:eastAsia="宋体" w:cs="宋体"/>
          <w:sz w:val="28"/>
          <w:szCs w:val="28"/>
          <w:highlight w:val="none"/>
          <w:lang w:val="en-US" w:eastAsia="zh-CN"/>
        </w:rPr>
        <w:t xml:space="preserve">。详细见表1和表2。</w:t>
      </w:r>
      <w:r/>
    </w:p>
    <w:p>
      <w:pPr>
        <w:spacing w:before="58" w:line="360" w:lineRule="auto"/>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 xml:space="preserve">表1 </w:t>
      </w:r>
      <w:r>
        <w:rPr>
          <w:rFonts w:hint="eastAsia" w:ascii="宋体" w:hAnsi="宋体" w:cs="宋体"/>
          <w:b/>
          <w:bCs/>
          <w:spacing w:val="-2"/>
          <w:sz w:val="28"/>
          <w:szCs w:val="28"/>
          <w:highlight w:val="none"/>
          <w:lang w:val="en-US" w:eastAsia="zh-CN"/>
        </w:rPr>
        <w:t xml:space="preserve"> </w:t>
      </w:r>
      <w:r>
        <w:rPr>
          <w:rFonts w:hint="eastAsia" w:ascii="宋体" w:hAnsi="宋体" w:eastAsia="宋体" w:cs="宋体"/>
          <w:b/>
          <w:bCs/>
          <w:spacing w:val="-2"/>
          <w:sz w:val="28"/>
          <w:szCs w:val="28"/>
          <w:highlight w:val="none"/>
        </w:rPr>
        <w:t xml:space="preserve">2025年铜山区水库大坝白蚁等害堤动物危害检查对象清单</w:t>
      </w:r>
      <w:r/>
    </w:p>
    <w:tbl>
      <w:tblPr>
        <w:tblStyle w:val="960"/>
        <w:tblW w:w="501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1406"/>
        <w:gridCol w:w="1176"/>
        <w:gridCol w:w="1314"/>
        <w:gridCol w:w="1176"/>
        <w:gridCol w:w="1297"/>
        <w:gridCol w:w="1297"/>
      </w:tblGrid>
      <w:tr>
        <w:trPr>
          <w:jc w:val="center"/>
          <w:trHeight w:val="382"/>
          <w:tblHeader/>
        </w:trPr>
        <w:tc>
          <w:tcPr>
            <w:tcW w:w="562" w:type="pct"/>
            <w:vAlign w:val="center"/>
            <w:vMerge w:val="restart"/>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序号</w:t>
            </w:r>
            <w:r/>
          </w:p>
        </w:tc>
        <w:tc>
          <w:tcPr>
            <w:tcW w:w="863" w:type="pct"/>
            <w:vAlign w:val="center"/>
            <w:vMerge w:val="restart"/>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水库名称</w:t>
            </w:r>
            <w:r/>
          </w:p>
        </w:tc>
        <w:tc>
          <w:tcPr>
            <w:tcW w:w="619" w:type="pct"/>
            <w:vAlign w:val="center"/>
            <w:vMerge w:val="restart"/>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工程等别</w:t>
            </w:r>
            <w:r/>
          </w:p>
        </w:tc>
        <w:tc>
          <w:tcPr>
            <w:tcW w:w="809" w:type="pct"/>
            <w:vAlign w:val="center"/>
            <w:vMerge w:val="restart"/>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工程规模</w:t>
            </w:r>
            <w:r/>
          </w:p>
        </w:tc>
        <w:tc>
          <w:tcPr>
            <w:gridSpan w:val="3"/>
            <w:tcW w:w="2145"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大坝指标</w:t>
            </w:r>
            <w:r/>
          </w:p>
        </w:tc>
      </w:tr>
      <w:tr>
        <w:trPr>
          <w:jc w:val="center"/>
          <w:trHeight w:val="329"/>
          <w:tblHeader/>
        </w:trPr>
        <w:tc>
          <w:tcPr>
            <w:tcW w:w="562" w:type="pct"/>
            <w:vAlign w:val="center"/>
            <w:vMerge w:val="continue"/>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3" w:type="pct"/>
            <w:vAlign w:val="center"/>
            <w:vMerge w:val="continue"/>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19" w:type="pct"/>
            <w:vAlign w:val="center"/>
            <w:vMerge w:val="continue"/>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9" w:type="pct"/>
            <w:vAlign w:val="center"/>
            <w:vMerge w:val="continue"/>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坝型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坝长（m）</w:t>
            </w:r>
            <w:r/>
          </w:p>
        </w:tc>
        <w:tc>
          <w:tcPr>
            <w:tcW w:w="716"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坝高（m）</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王月铺水库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3155</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6.5</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胡集水库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1986</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水口水库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3830</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8.4</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下洪水库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3663</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7.5</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吴湾水库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2293</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6.5</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汉王水库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642</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6.5</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郭集水库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1490</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9.5</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倪园水库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835</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7.7</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白塔泉水库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1030</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将墓山水库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1811</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7.3</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白桥水库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Ⅳ</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小（1）型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650</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5.9</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石岗水库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Ⅴ</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小（2）型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500</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10.6</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伴山水库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Ⅴ</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小（2）型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350</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8.1</w:t>
            </w:r>
            <w:r/>
          </w:p>
        </w:tc>
      </w:tr>
      <w:tr>
        <w:trPr>
          <w:jc w:val="center"/>
          <w:trHeight w:val="372"/>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洪山沟水库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Ⅴ</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小（2）型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480</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p>
        </w:tc>
      </w:tr>
      <w:tr>
        <w:trPr>
          <w:jc w:val="center"/>
          <w:trHeight w:val="403"/>
        </w:trPr>
        <w:tc>
          <w:tcPr>
            <w:tcW w:w="562"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p>
        </w:tc>
        <w:tc>
          <w:tcPr>
            <w:tcW w:w="863"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光山水库</w:t>
            </w:r>
            <w:r/>
          </w:p>
        </w:tc>
        <w:tc>
          <w:tcPr>
            <w:tcW w:w="619"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Ⅴ</w:t>
            </w:r>
            <w:r/>
          </w:p>
        </w:tc>
        <w:tc>
          <w:tcPr>
            <w:tcW w:w="809"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小（2）型</w:t>
            </w:r>
            <w:r/>
          </w:p>
        </w:tc>
        <w:tc>
          <w:tcPr>
            <w:tcW w:w="714" w:type="pct"/>
            <w:vAlign w:val="center"/>
            <w:textDirection w:val="lrTb"/>
            <w:noWrap/>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均质土坝</w:t>
            </w:r>
            <w:r/>
          </w:p>
        </w:tc>
        <w:tc>
          <w:tcPr>
            <w:tcW w:w="714"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363</w:t>
            </w:r>
            <w:r/>
          </w:p>
        </w:tc>
        <w:tc>
          <w:tcPr>
            <w:tcW w:w="716" w:type="pct"/>
            <w:vAlign w:val="center"/>
            <w:textDirection w:val="lrTb"/>
            <w:noWrap w:val="false"/>
          </w:tcPr>
          <w:p>
            <w:pPr>
              <w:pStyle w:val="118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10.5</w:t>
            </w:r>
            <w:r/>
          </w:p>
        </w:tc>
      </w:tr>
    </w:tbl>
    <w:p>
      <w:pPr>
        <w:spacing w:before="58" w:line="360" w:lineRule="auto"/>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 xml:space="preserve">表</w:t>
      </w:r>
      <w:r>
        <w:rPr>
          <w:rFonts w:hint="eastAsia" w:ascii="宋体" w:hAnsi="宋体" w:eastAsia="宋体" w:cs="宋体"/>
          <w:b/>
          <w:bCs/>
          <w:spacing w:val="-2"/>
          <w:sz w:val="28"/>
          <w:szCs w:val="28"/>
          <w:highlight w:val="none"/>
          <w:lang w:val="en-US" w:eastAsia="zh-CN"/>
        </w:rPr>
        <w:t xml:space="preserve">2</w:t>
      </w:r>
      <w:r>
        <w:rPr>
          <w:rFonts w:hint="eastAsia" w:ascii="宋体" w:hAnsi="宋体" w:eastAsia="宋体" w:cs="宋体"/>
          <w:b/>
          <w:bCs/>
          <w:spacing w:val="-2"/>
          <w:sz w:val="28"/>
          <w:szCs w:val="28"/>
          <w:highlight w:val="none"/>
        </w:rPr>
        <w:t xml:space="preserve"> </w:t>
      </w:r>
      <w:r>
        <w:rPr>
          <w:rFonts w:hint="eastAsia" w:ascii="宋体" w:hAnsi="宋体" w:cs="宋体"/>
          <w:b/>
          <w:bCs/>
          <w:spacing w:val="-2"/>
          <w:sz w:val="28"/>
          <w:szCs w:val="28"/>
          <w:highlight w:val="none"/>
          <w:lang w:val="en-US" w:eastAsia="zh-CN"/>
        </w:rPr>
        <w:t xml:space="preserve"> </w:t>
      </w:r>
      <w:r>
        <w:rPr>
          <w:rFonts w:hint="eastAsia" w:ascii="宋体" w:hAnsi="宋体" w:eastAsia="宋体" w:cs="宋体"/>
          <w:b/>
          <w:bCs/>
          <w:spacing w:val="-2"/>
          <w:sz w:val="28"/>
          <w:szCs w:val="28"/>
          <w:highlight w:val="none"/>
        </w:rPr>
        <w:t xml:space="preserve">2025年铜山区河道堤防白蚁等害堤动物危害检查对象清单</w:t>
      </w:r>
      <w:r/>
    </w:p>
    <w:tbl>
      <w:tblPr>
        <w:tblStyle w:val="960"/>
        <w:tblW w:w="5048"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864"/>
        <w:gridCol w:w="1482"/>
        <w:gridCol w:w="1456"/>
        <w:gridCol w:w="1285"/>
        <w:gridCol w:w="604"/>
        <w:gridCol w:w="1348"/>
      </w:tblGrid>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序号</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河道堤防名称</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工程管理单位</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起始位置</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终止位置</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工程规模</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堤防长度（m）</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郑集干河右堤郑集闸下游段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湖西地区水利工程管理所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郑集镇,郑集村委会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沿湖街道,牛场村委会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9937.39</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郑集干河右堤郑集闸上游段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湖西地区水利工程管理所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黄集镇,黄东村委会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郑集镇,郑集村委会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3133.86</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郑集干河左堤</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湖西地区水利工程管理所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黄集镇,传楼村委会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马坡镇,丁集村委会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12827.77</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京杭大运河不牢河左堤铜山段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湖西地区水利工程管理所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茅村镇,班山村委会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茅村镇,赵庄村委会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7942.64</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奎河铜山段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城区水利工程管理所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新区街道,驿城村委会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三堡街道,黄桥居委会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31386.4</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顺堤河堤防铜山段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湖西地区水利工程管理所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沿湖街道,牛场村委会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沿湖街道,牛场村委会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14000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郑集分洪道黄集段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黄集镇,三座楼村委会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黄集镇,三座楼村委会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3718.72</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郑集分洪道刘集段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刘集水利站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刘集镇,东风村委会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刘集镇,棉布村委会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14233.23</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郑集分洪道郑集段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郑集镇,前鹿楼村委会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郑集镇,郑集村委会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5975.72</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郑集南支河铜山段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湖西地区水利工程管理所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何桥镇,苗庄村委会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黄集镇,黄东村委会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33298.16</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二八河</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大许镇,横山村委会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大许镇,大吴村委会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27641.33</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房亭河铜山单集段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单集镇,詹湖村委会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单集镇,闫庄村委会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15146.64</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房亭河铜山张集段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张集镇,姥庙村委会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张集镇,姥庙村委会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4509.51</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房亭河铜山大许段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大许镇,大吴村委会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大许镇,小墩村委会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6449.87</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灌沟河铜山段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三堡水利站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三堡街道-潘楼村</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三堡街道-潘楼村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76000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黄河故道铜山段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徐州市铜山区废黄河地区水利工程管理所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何桥镇-赵台村委会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房村镇-温刘村委会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135100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琅溪河铜山棠张段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棠张水利站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棠张镇-田河村</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棠张镇-前谷堆村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19638</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刘禅河</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大许镇,大许村委会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大许镇,大许村委会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14253</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19</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桃园河铜山段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徐州市铜山区河道水库管理处</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黄集镇-杨庄村委会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柳新镇-蔺家坝村委会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20000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闫河铜山棠张段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棠张水利站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棠张镇-位河村</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棠张镇-刘庄村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18302</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一手禅河铜山段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大许镇,团埠村委会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大许镇,沙庄村委会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23068.34</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运料河铜山房村段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房村水利站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房村镇-八王村</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房村镇-大沟里村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14710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运料河铜山张集段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张集镇-张集村</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张集镇-孟庄村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30000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闸河铜山汉王段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汉王水利站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汉王镇-南望村</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汉王镇-西沿村委会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20500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闸河左堤铜山大彭段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大彭水利站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大彭镇-田巷村委会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大彭镇-田巷村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8280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26</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郑集北支河铜山段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湖西地区水利工程管理所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12741</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徐沛河</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铜山区水务局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黄集镇-左庄村居委会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刘集镇-棉布村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15400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28</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楚河</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铜山区水务局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汉王镇-汉王村居委会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新区街道-二堡村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25000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29</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白马河（运西）铜山单集段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单集镇,庙山村委会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单集镇,寿山村委会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22624.71</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帮房亭河铜山单集段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单集镇,贺庄村委会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单集镇,林头村委会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17204.73</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帮房亭河铜山伊庄段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伊庄镇,马集村委会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伊庄镇,伊庄村委会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10239.04</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南禅河单集段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单集镇,姜集村委会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单集镇,闫庄村委会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18563</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南禅河铜山伊庄段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伊庄镇-牛楼村</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伊庄镇-晓庄村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7580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南二八河伊庄段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伊庄镇,牌坊村委会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伊庄镇,伊庄村委会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9917.62</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南二八河堤防单集段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单集水利站</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单集镇,洪楼村委会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单集镇,贺庄村委会</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12690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玉泉河</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铜山区水务局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铜山街道-樵村居委会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铜山街道-驿城村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8120</w:t>
            </w:r>
            <w:r/>
          </w:p>
        </w:tc>
      </w:tr>
      <w:tr>
        <w:trPr>
          <w:trHeight w:val="389"/>
        </w:trPr>
        <w:tc>
          <w:tcPr>
            <w:tcW w:w="33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w:t>
            </w:r>
            <w:r/>
          </w:p>
        </w:tc>
        <w:tc>
          <w:tcPr>
            <w:tcW w:w="10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苏北堤河铜山段</w:t>
            </w:r>
            <w:r/>
          </w:p>
        </w:tc>
        <w:tc>
          <w:tcPr>
            <w:tcW w:w="86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铜山区水务局</w:t>
            </w:r>
            <w:r/>
          </w:p>
        </w:tc>
        <w:tc>
          <w:tcPr>
            <w:tcW w:w="845"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郑集镇-蒋楼村居委会</w:t>
            </w:r>
            <w:r/>
          </w:p>
        </w:tc>
        <w:tc>
          <w:tcPr>
            <w:tcW w:w="746"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郑集镇-肖楼村</w:t>
            </w:r>
            <w:r/>
          </w:p>
        </w:tc>
        <w:tc>
          <w:tcPr>
            <w:tcW w:w="350"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32000</w:t>
            </w:r>
            <w:r/>
          </w:p>
        </w:tc>
      </w:tr>
      <w:tr>
        <w:trPr>
          <w:trHeight w:val="389"/>
        </w:trPr>
        <w:tc>
          <w:tcPr>
            <w:gridSpan w:val="6"/>
            <w:tcW w:w="4217"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合计</w:t>
            </w:r>
            <w:r/>
          </w:p>
        </w:tc>
        <w:tc>
          <w:tcPr>
            <w:tcW w:w="782" w:type="pct"/>
            <w:vAlign w:val="center"/>
            <w:textDirection w:val="lrTb"/>
            <w:noWrap/>
          </w:tcPr>
          <w:p>
            <w:pPr>
              <w:pStyle w:val="1184"/>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762132.68</w:t>
            </w:r>
            <w:r/>
          </w:p>
        </w:tc>
      </w:tr>
    </w:tbl>
    <w:p>
      <w:pPr>
        <w:pStyle w:val="999"/>
        <w:spacing w:line="360" w:lineRule="auto"/>
        <w:rPr>
          <w:rFonts w:hint="eastAsia"/>
          <w:color w:val="ed7d31" w:themeColor="accent2"/>
          <w:highlight w:val="none"/>
          <w14:textFill>
            <w14:solidFill>
              <w14:schemeClr w14:val="accent2"/>
            </w14:solidFill>
          </w14:textFill>
        </w:rPr>
      </w:pPr>
      <w:r>
        <w:rPr>
          <w:rFonts w:hint="eastAsia"/>
          <w:color w:val="ed7d31" w:themeColor="accent2"/>
          <w:highlight w:val="none"/>
          <w14:textFill>
            <w14:solidFill>
              <w14:schemeClr w14:val="accent2"/>
            </w14:solidFill>
          </w14:textFill>
        </w:rPr>
      </w:r>
      <w:r/>
    </w:p>
    <w:p>
      <w:pPr>
        <w:numPr>
          <w:ilvl w:val="0"/>
          <w:numId w:val="6"/>
        </w:numPr>
        <w:ind w:left="420"/>
        <w:spacing w:line="360" w:lineRule="auto"/>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服务内容</w:t>
      </w:r>
      <w:r/>
    </w:p>
    <w:p>
      <w:pPr>
        <w:numPr>
          <w:ilvl w:val="0"/>
          <w:numId w:val="7"/>
        </w:numPr>
        <w:ind w:firstLine="560"/>
        <w:spacing w:line="360" w:lineRule="auto"/>
        <w:rPr>
          <w:rFonts w:hint="eastAsia" w:ascii="宋体" w:hAnsi="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水库河道堤防基本情况调查报告（主要包含现状堤防实际长度、堤型坝型完整情况等）。</w:t>
      </w:r>
      <w:r/>
    </w:p>
    <w:p>
      <w:pPr>
        <w:numPr>
          <w:ilvl w:val="0"/>
          <w:numId w:val="7"/>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eastAsia="宋体" w:cs="宋体"/>
          <w:sz w:val="28"/>
          <w:szCs w:val="28"/>
          <w:highlight w:val="none"/>
          <w:lang w:val="en-US" w:eastAsia="zh-CN"/>
        </w:rPr>
        <w:t xml:space="preserve">白蚁等害堤动物危害检查</w:t>
      </w:r>
      <w:r>
        <w:rPr>
          <w:rFonts w:hint="eastAsia" w:ascii="宋体" w:hAnsi="宋体" w:cs="宋体"/>
          <w:sz w:val="28"/>
          <w:szCs w:val="28"/>
          <w:highlight w:val="none"/>
          <w:lang w:val="en-US" w:eastAsia="zh-CN"/>
        </w:rPr>
        <w:t xml:space="preserve">项目工作</w:t>
      </w:r>
      <w:r>
        <w:rPr>
          <w:rFonts w:hint="eastAsia" w:ascii="宋体" w:hAnsi="宋体" w:eastAsia="宋体" w:cs="宋体"/>
          <w:sz w:val="28"/>
          <w:szCs w:val="28"/>
          <w:highlight w:val="none"/>
          <w:lang w:val="en-US" w:eastAsia="zh-CN"/>
        </w:rPr>
        <w:t xml:space="preserve">报告</w:t>
      </w:r>
      <w:r>
        <w:rPr>
          <w:rFonts w:hint="eastAsia" w:ascii="宋体" w:hAnsi="宋体" w:cs="宋体"/>
          <w:sz w:val="28"/>
          <w:szCs w:val="28"/>
          <w:highlight w:val="none"/>
          <w:lang w:val="en-US" w:eastAsia="zh-CN"/>
        </w:rPr>
        <w:t xml:space="preserve">，</w:t>
      </w:r>
      <w:r>
        <w:rPr>
          <w:rFonts w:hint="eastAsia" w:ascii="宋体" w:hAnsi="宋体" w:cs="宋体"/>
          <w:b w:val="0"/>
          <w:bCs w:val="0"/>
          <w:sz w:val="28"/>
          <w:szCs w:val="28"/>
          <w:highlight w:val="none"/>
          <w:lang w:val="en-US" w:eastAsia="zh-CN"/>
        </w:rPr>
        <w:t xml:space="preserve">在白蚁等害堤动物危害区域设置标记牌，详细记录普查区域段的白蚁等害堤动物危害等级情况，编制完成《铜山区2025年度河道堤防、小水库白蚁等害堤动物检查服务项目报告》。主要内容包含白蚁种类、活动规律、危害等级、蚁害分布区域、发展趋势、防治重点、防治方法及建议等。</w:t>
      </w:r>
      <w:r/>
    </w:p>
    <w:p>
      <w:pPr>
        <w:pStyle w:val="1182"/>
        <w:numPr>
          <w:ilvl w:val="0"/>
          <w:numId w:val="7"/>
        </w:numPr>
        <w:ind w:left="0" w:firstLine="560"/>
        <w:jc w:val="both"/>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根据调查结果对白蚁等害堤动物进行治理，包括白蚁饵剂诱杀、蚁巢开挖回填、蚁道灌浆、钻孔灌浆、獾等害堤动物治理等，并完成相关验收资料。</w:t>
      </w:r>
      <w:r/>
    </w:p>
    <w:p>
      <w:pPr>
        <w:pStyle w:val="1182"/>
        <w:numPr>
          <w:ilvl w:val="0"/>
          <w:numId w:val="7"/>
        </w:numPr>
        <w:ind w:left="0" w:firstLine="560"/>
        <w:jc w:val="both"/>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在水库、堤防工程蚁患区和蚁源区和重点水库、堤防段设置地表白蚁活动监测和白蚁分飞期有翅成虫监测，主要设置引诱桩、</w:t>
      </w:r>
      <w:r/>
    </w:p>
    <w:p>
      <w:pPr>
        <w:pStyle w:val="1182"/>
        <w:numPr>
          <w:ilvl w:val="0"/>
          <w:numId w:val="0"/>
        </w:numPr>
        <w:jc w:val="both"/>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白蚁智能监测装置、白蚁有翅成虫诱捕装置。</w:t>
      </w:r>
      <w:r/>
    </w:p>
    <w:p>
      <w:pPr>
        <w:numPr>
          <w:ilvl w:val="0"/>
          <w:numId w:val="7"/>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在白蚁等害堤动物危害区域设置标记牌，详细记录普查区域段的白蚁等害堤动物危害等级情况，编制完成《铜山区2025年度河道堤防、小水库白蚁等害堤动物检查服务项目报告》。主要内容包含白蚁种类、活动规律、危害等级、蚁害分布区域、发展趋势、防治重点、防治方法及建议等。</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6、白蚁检查工作须按照水利部办公厅关于印发《水利工程白蚁防治技术规程》SL/T836-2024；《江苏省堤坝白蚁防治办法》和《堤坝白蚁防治技术规程》（db32∕t1361-2009）中的技术要求进行2次白蚁普查，检查结束后，对检查时形成的《水利工程白蚁危害普查记录表》和现场绘制的白蚁活动痕迹分布图进行汇总并确定白蚁危害等级形成台账资料。</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7、发现蚁害及时实施免费灭治。</w:t>
      </w:r>
      <w:r/>
    </w:p>
    <w:p>
      <w:pPr>
        <w:numPr>
          <w:ilvl w:val="0"/>
          <w:numId w:val="6"/>
        </w:numPr>
        <w:ind w:left="420" w:firstLine="0"/>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编制依据：</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1、规范规程</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(1)《江苏省堤坝白蚁防治办法》</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(2)《堤坝白蚁防治技术规程》</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(3)《水利工程白蚁防治技术规程》</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2、有关文件</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(1)《水利部办公厅关于做好水利工程白蚁等害堤动物防治中央补助资金使用相关工作的通知》（办运管〔2023〕290号）</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(2)《江苏省财政厅江苏省水利厅关于提前下达2025年第二批省级以上水利发展资金预算的通知》（苏财农〔2025〕33号）</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(3)《市水利局关于转发《水利部办公厅关于做好水利工程白蚁等害堤动物防治中央补助资金安排使用相关工作的通知》的通知》（连水管〔2024〕10号）</w:t>
      </w:r>
      <w:r/>
    </w:p>
    <w:p>
      <w:pPr>
        <w:ind w:firstLine="560"/>
        <w:spacing w:line="360" w:lineRule="auto"/>
        <w:rPr>
          <w:rFonts w:hint="default"/>
          <w:highlight w:val="none"/>
          <w:lang w:val="en-US" w:eastAsia="zh-CN"/>
        </w:rPr>
      </w:pPr>
      <w:r>
        <w:rPr>
          <w:rFonts w:hint="eastAsia" w:ascii="宋体" w:hAnsi="宋体" w:cs="宋体"/>
          <w:b w:val="0"/>
          <w:bCs w:val="0"/>
          <w:sz w:val="28"/>
          <w:szCs w:val="28"/>
          <w:highlight w:val="none"/>
          <w:lang w:val="en-US" w:eastAsia="zh-CN"/>
        </w:rPr>
        <w:t xml:space="preserve">(4)水利部办公厅关于印发《水利工程白蚁等害堤动物防治工作实施方案(2024-2030年)》的通知(办运管(2024)20号)</w:t>
      </w:r>
      <w:r/>
    </w:p>
    <w:p>
      <w:pPr>
        <w:numPr>
          <w:ilvl w:val="0"/>
          <w:numId w:val="6"/>
        </w:numPr>
        <w:ind w:left="420" w:firstLine="0"/>
        <w:spacing w:line="360" w:lineRule="auto"/>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服务要求</w:t>
      </w:r>
      <w:r/>
    </w:p>
    <w:p>
      <w:pPr>
        <w:numPr>
          <w:ilvl w:val="0"/>
          <w:numId w:val="0"/>
        </w:numPr>
        <w:ind w:firstLine="560"/>
        <w:spacing w:line="360" w:lineRule="auto"/>
        <w:rPr>
          <w:rFonts w:hint="eastAsia" w:ascii="宋体" w:hAnsi="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rPr>
        <w:t xml:space="preserve">1、人员要求：对小水库大坝坝体的检查，要求每侧坝坡面、护坝地不少于4人同速并排地毯式检查，坝顶不少于2人；对河道堤防的检查，按照河道堤防横断面尺寸从小到大、堤防等级从低到高，要求每侧堤防坡面不少于3人同速并排地毯式检查，堤顶不少于2人。</w:t>
      </w:r>
      <w:r/>
    </w:p>
    <w:p>
      <w:pPr>
        <w:numPr>
          <w:ilvl w:val="0"/>
          <w:numId w:val="0"/>
        </w:numPr>
        <w:ind w:firstLine="560"/>
        <w:spacing w:line="360" w:lineRule="auto"/>
        <w:rPr>
          <w:rFonts w:hint="eastAsia" w:ascii="宋体" w:hAnsi="宋体" w:cs="宋体"/>
          <w:b/>
          <w:bCs/>
          <w:sz w:val="28"/>
          <w:szCs w:val="28"/>
          <w:highlight w:val="none"/>
          <w:lang w:val="en-US" w:eastAsia="zh-CN"/>
        </w:rPr>
      </w:pPr>
      <w:r>
        <w:rPr>
          <w:rFonts w:hint="eastAsia" w:ascii="宋体" w:hAnsi="宋体" w:cs="宋体"/>
          <w:b w:val="0"/>
          <w:bCs w:val="0"/>
          <w:sz w:val="28"/>
          <w:szCs w:val="28"/>
          <w:highlight w:val="none"/>
          <w:lang w:val="en-US" w:eastAsia="zh-CN"/>
        </w:rPr>
        <w:t xml:space="preserve">2、</w:t>
      </w:r>
      <w:r>
        <w:rPr>
          <w:rFonts w:hint="default" w:ascii="宋体" w:hAnsi="宋体" w:cs="宋体"/>
          <w:b w:val="0"/>
          <w:bCs w:val="0"/>
          <w:sz w:val="28"/>
          <w:szCs w:val="28"/>
          <w:highlight w:val="none"/>
          <w:lang w:val="en-US" w:eastAsia="zh-CN"/>
        </w:rPr>
        <w:t xml:space="preserve">检查单位在检查工作全面开展之前，组织所有的检查人员参加一次集中业务提升培训，培训时长不少于1天，培训专家必须是省内水利工程管理单位中知名的一线防治工作专家。</w:t>
      </w:r>
      <w:r/>
    </w:p>
    <w:p>
      <w:pPr>
        <w:numPr>
          <w:ilvl w:val="0"/>
          <w:numId w:val="6"/>
        </w:numPr>
        <w:ind w:left="420" w:firstLine="0"/>
        <w:spacing w:line="360" w:lineRule="auto"/>
        <w:rPr>
          <w:rFonts w:hint="default"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其他要求</w:t>
      </w:r>
      <w:r/>
    </w:p>
    <w:p>
      <w:pPr>
        <w:numPr>
          <w:ilvl w:val="0"/>
          <w:numId w:val="8"/>
        </w:numPr>
        <w:ind w:firstLine="560"/>
        <w:spacing w:line="360" w:lineRule="auto"/>
        <w:rPr>
          <w:rFonts w:hint="default" w:ascii="宋体" w:hAnsi="宋体" w:cs="宋体"/>
          <w:b w:val="0"/>
          <w:bCs w:val="0"/>
          <w:sz w:val="28"/>
          <w:szCs w:val="28"/>
          <w:highlight w:val="none"/>
          <w:lang w:val="en-US" w:eastAsia="zh-CN"/>
        </w:rPr>
      </w:pPr>
      <w:r>
        <w:rPr>
          <w:rFonts w:hint="default" w:ascii="宋体" w:hAnsi="宋体" w:cs="宋体"/>
          <w:b w:val="0"/>
          <w:bCs w:val="0"/>
          <w:sz w:val="28"/>
          <w:szCs w:val="28"/>
          <w:highlight w:val="none"/>
          <w:lang w:val="en-US" w:eastAsia="zh-CN"/>
        </w:rPr>
        <w:t xml:space="preserve">现场勘察：自行现场勘查。供应商应承担现场踏勘的责任和风险，现场踏勘费用由供应商承担。</w:t>
      </w:r>
      <w:r/>
    </w:p>
    <w:p>
      <w:pPr>
        <w:pStyle w:val="1013"/>
        <w:ind w:firstLine="560"/>
        <w:keepLines w:val="0"/>
        <w:keepNext w:val="0"/>
        <w:pageBreakBefore w:val="0"/>
        <w:spacing w:after="0" w:line="360" w:lineRule="auto"/>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2、成交</w:t>
      </w:r>
      <w:r>
        <w:rPr>
          <w:rFonts w:hint="default" w:ascii="宋体" w:hAnsi="宋体" w:eastAsia="宋体" w:cs="宋体"/>
          <w:b w:val="0"/>
          <w:bCs w:val="0"/>
          <w:sz w:val="28"/>
          <w:szCs w:val="28"/>
          <w:highlight w:val="none"/>
          <w:lang w:val="en-US" w:eastAsia="zh-CN"/>
        </w:rPr>
        <w:t xml:space="preserve">供应商</w:t>
      </w:r>
      <w:r>
        <w:rPr>
          <w:rFonts w:hint="eastAsia" w:ascii="宋体" w:hAnsi="宋体" w:eastAsia="宋体" w:cs="宋体"/>
          <w:b w:val="0"/>
          <w:bCs w:val="0"/>
          <w:sz w:val="28"/>
          <w:szCs w:val="28"/>
          <w:highlight w:val="none"/>
          <w:lang w:val="en-US" w:eastAsia="zh-CN"/>
        </w:rPr>
        <w:t xml:space="preserve">应负责本方人员的安全管理。在合同履行期内，成交供应商工作人员人员因工、非因工安全事故产生的一切责任均由成交供应商自行承担，与采购人无关。成交供应商工作人员的劳动关系、工资福利、社会保险等由成交供应商全权负责。</w:t>
      </w:r>
      <w:r/>
    </w:p>
    <w:p>
      <w:pPr>
        <w:pStyle w:val="1013"/>
        <w:ind w:firstLine="482"/>
        <w:keepLines w:val="0"/>
        <w:keepNext w:val="0"/>
        <w:pageBreakBefore w:val="0"/>
        <w:spacing w:after="0" w:line="360" w:lineRule="auto"/>
        <w:rPr>
          <w:rFonts w:hint="eastAsia"/>
          <w:color w:val="auto"/>
          <w:highlight w:val="none"/>
        </w:rPr>
        <w:outlineLvl w:val="9"/>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见《磋商文件》附件：6、《拟签订的合同文本》</w:t>
      </w:r>
      <w:r>
        <w:rPr>
          <w:rFonts w:hint="eastAsia" w:ascii="宋体" w:hAnsi="宋体" w:cs="宋体"/>
          <w:b/>
          <w:bCs/>
          <w:color w:val="auto"/>
          <w:sz w:val="24"/>
          <w:highlight w:val="none"/>
          <w:lang w:eastAsia="zh-CN"/>
        </w:rPr>
        <w:t xml:space="preserve">。</w:t>
      </w:r>
      <w:r/>
    </w:p>
    <w:p>
      <w:pPr>
        <w:jc w:val="center"/>
        <w:spacing w:line="360" w:lineRule="auto"/>
        <w:rPr>
          <w:rFonts w:hint="eastAsia" w:ascii="宋体" w:hAnsi="宋体" w:cs="宋体"/>
          <w:b/>
          <w:bCs/>
          <w:color w:val="auto"/>
          <w:sz w:val="36"/>
          <w:highlight w:val="none"/>
          <w:lang w:val="en-US" w:eastAsia="zh-CN"/>
        </w:rPr>
        <w:sectPr>
          <w:footnotePr/>
          <w:endnotePr/>
          <w:type w:val="continuous"/>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lang w:val="en-US" w:eastAsia="zh-CN"/>
        </w:rPr>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3、磋商报价表</w:t>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JSZC-320312-HWZX-C2025-0724</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960"/>
        <w:tblW w:w="856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58"/>
        <w:gridCol w:w="1868"/>
        <w:gridCol w:w="1555"/>
        <w:gridCol w:w="1880"/>
      </w:tblGrid>
      <w:tr>
        <w:trPr>
          <w:cantSplit/>
          <w:jc w:val="center"/>
          <w:trHeight w:val="839"/>
        </w:trPr>
        <w:tc>
          <w:tcPr>
            <w:tcW w:w="325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186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155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w:t>
            </w:r>
            <w:r/>
          </w:p>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（小写）</w:t>
            </w:r>
            <w:r/>
          </w:p>
        </w:tc>
        <w:tc>
          <w:tcPr>
            <w:tcW w:w="18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工期</w:t>
            </w:r>
            <w:r/>
          </w:p>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（日历天）</w:t>
            </w:r>
            <w:r/>
          </w:p>
        </w:tc>
      </w:tr>
      <w:tr>
        <w:trPr>
          <w:cantSplit/>
          <w:jc w:val="center"/>
          <w:trHeight w:val="1065" w:hRule="exact"/>
        </w:trPr>
        <w:tc>
          <w:tcPr>
            <w:tcW w:w="3258" w:type="dxa"/>
            <w:vAlign w:val="center"/>
            <w:textDirection w:val="lrTb"/>
            <w:noWrap w:val="false"/>
          </w:tcPr>
          <w:p>
            <w:pPr>
              <w:jc w:val="center"/>
              <w:spacing w:line="240" w:lineRule="auto"/>
              <w:rPr>
                <w:rFonts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 xml:space="preserve">铜山区2025年度河道堤防、小水库白蚁等害堤动物检查服务</w:t>
            </w:r>
            <w:r/>
          </w:p>
        </w:tc>
        <w:tc>
          <w:tcPr>
            <w:tcW w:w="186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详见响应文件</w:t>
            </w:r>
            <w:r/>
          </w:p>
        </w:tc>
        <w:tc>
          <w:tcPr>
            <w:tcW w:w="1555"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1880"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cantSplit/>
          <w:jc w:val="center"/>
          <w:trHeight w:val="850" w:hRule="exact"/>
        </w:trPr>
        <w:tc>
          <w:tcPr>
            <w:tcW w:w="3258"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总价（大写）：</w:t>
            </w:r>
            <w:r/>
          </w:p>
        </w:tc>
        <w:tc>
          <w:tcPr>
            <w:gridSpan w:val="3"/>
            <w:tcW w:w="5303" w:type="dxa"/>
            <w:vAlign w:val="center"/>
            <w:textDirection w:val="lrTb"/>
            <w:noWrap w:val="false"/>
          </w:tcPr>
          <w:p>
            <w:pPr>
              <w:jc w:val="cente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供应商承诺：本报价（总价）为供应商本企业提供的</w:t>
      </w:r>
      <w:r>
        <w:rPr>
          <w:rFonts w:hint="eastAsia" w:ascii="宋体" w:hAnsi="宋体" w:cs="宋体"/>
          <w:b/>
          <w:bCs/>
          <w:color w:val="auto"/>
          <w:sz w:val="24"/>
          <w:highlight w:val="none"/>
          <w:lang w:val="en-US" w:eastAsia="zh-CN"/>
        </w:rPr>
        <w:t xml:space="preserve">服务</w:t>
      </w:r>
      <w:r>
        <w:rPr>
          <w:rFonts w:hint="eastAsia" w:ascii="宋体" w:hAnsi="宋体" w:cs="宋体"/>
          <w:b/>
          <w:bCs/>
          <w:color w:val="auto"/>
          <w:sz w:val="24"/>
          <w:highlight w:val="none"/>
        </w:rPr>
        <w:t xml:space="preserve">。</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1、报价应包括磋商文件所确定的招标范围内的全部内容，以及为完成上述内容所需的全部费用。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3、偏离说明：详见《偏离表》；</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firstLine="480"/>
        <w:spacing w:line="520" w:lineRule="exact"/>
        <w:rPr>
          <w:rFonts w:hint="eastAsia" w:ascii="宋体" w:hAnsi="宋体" w:cs="宋体"/>
          <w:b/>
          <w:bCs/>
          <w:color w:val="auto"/>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highlight w:val="none"/>
        </w:rPr>
        <w:t xml:space="preserve">日期：   年  月  日</w:t>
      </w:r>
      <w:r/>
    </w:p>
    <w:p>
      <w:pPr>
        <w:jc w:val="center"/>
        <w:spacing w:line="360" w:lineRule="auto"/>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t xml:space="preserve">4、分项价格表</w:t>
      </w:r>
      <w:r/>
    </w:p>
    <w:p>
      <w:pPr>
        <w:numPr>
          <w:ilvl w:val="0"/>
          <w:numId w:val="0"/>
        </w:num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本次为首次报价</w:t>
      </w:r>
      <w:r/>
    </w:p>
    <w:p>
      <w:pPr>
        <w:pStyle w:val="991"/>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p>
    <w:p>
      <w:pPr>
        <w:pStyle w:val="991"/>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jc w:val="center"/>
        <w:spacing w:after="40"/>
        <w:rPr>
          <w:rFonts w:hint="default" w:ascii="Calibri" w:hAnsi="Calibri" w:eastAsia="宋体" w:cs="Times New Roman"/>
          <w:sz w:val="18"/>
          <w:highlight w:val="none"/>
        </w:rPr>
      </w:pPr>
      <w:r>
        <w:rPr>
          <w:highlight w:val="none"/>
        </w:rPr>
        <w:t xml:space="preserve"> </w:t>
      </w:r>
      <w:r>
        <w:rPr>
          <w:rFonts w:hint="eastAsia" w:ascii="宋体" w:hAnsi="宋体" w:eastAsia="宋体" w:cs="宋体"/>
          <w:sz w:val="24"/>
          <w:highlight w:val="none"/>
        </w:rPr>
        <w:t xml:space="preserve">（格式自拟）</w:t>
      </w:r>
      <w:r/>
    </w:p>
    <w:p>
      <w:pPr>
        <w:pStyle w:val="991"/>
        <w:jc w:val="both"/>
        <w:keepLines w:val="0"/>
        <w:keepNext w:val="0"/>
        <w:spacing w:before="300" w:beforeAutospacing="0" w:after="20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300" w:beforeAutospacing="0" w:after="20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300" w:beforeAutospacing="0" w:after="20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300" w:beforeAutospacing="0" w:after="20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ind w:right="2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供应商（电子签章）：</w:t>
      </w:r>
      <w:r/>
    </w:p>
    <w:p>
      <w:pPr>
        <w:pStyle w:val="991"/>
        <w:ind w:right="2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ind w:right="29"/>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                      日期：  年  月  日</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注：1、如果按单价计算的结果与总价不一致，以总价为准。</w:t>
      </w:r>
      <w:r/>
    </w:p>
    <w:p>
      <w:pPr>
        <w:pStyle w:val="991"/>
        <w:ind w:left="0" w:firstLine="48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2、供应商对以上数据的真实性负责。</w:t>
      </w:r>
      <w:r/>
    </w:p>
    <w:p>
      <w:pPr>
        <w:pStyle w:val="991"/>
        <w:ind w:firstLine="482"/>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24"/>
          <w:szCs w:val="24"/>
          <w:highlight w:val="none"/>
          <w:u w:val="single"/>
        </w:rPr>
        <w:t xml:space="preserve">采购人或采购代理机构有权将以上内容进行公示。</w:t>
      </w:r>
      <w:r/>
    </w:p>
    <w:p>
      <w:pPr>
        <w:pStyle w:val="991"/>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pStyle w:val="991"/>
        <w:jc w:val="center"/>
        <w:keepLines w:val="0"/>
        <w:keepNext w:val="0"/>
        <w:spacing w:before="0" w:beforeAutospacing="0" w:after="0" w:afterAutospacing="0" w:line="360" w:lineRule="auto"/>
        <w:widowControl w:val="off"/>
        <w:rPr>
          <w:rFonts w:hint="eastAsia" w:ascii="宋体" w:hAnsi="宋体" w:eastAsia="宋体" w:cs="宋体"/>
          <w:b/>
          <w:bCs/>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highlight w:val="none"/>
        </w:rPr>
      </w:r>
      <w:r/>
    </w:p>
    <w:p>
      <w:pPr>
        <w:rPr>
          <w:rFonts w:hint="eastAsia" w:ascii="宋体" w:hAnsi="宋体" w:cs="宋体"/>
          <w:b/>
          <w:bCs/>
          <w:color w:val="auto"/>
          <w:sz w:val="36"/>
          <w:highlight w:val="none"/>
          <w:lang w:val="en-US" w:eastAsia="zh-CN"/>
        </w:rPr>
      </w:pPr>
      <w:r>
        <w:rPr>
          <w:rFonts w:hint="eastAsia" w:ascii="宋体" w:hAnsi="宋体" w:cs="宋体"/>
          <w:b/>
          <w:bCs/>
          <w:color w:val="auto"/>
          <w:sz w:val="36"/>
          <w:highlight w:val="none"/>
          <w:lang w:val="en-US" w:eastAsia="zh-CN"/>
        </w:rPr>
        <w:br w:type="page" w:clear="all"/>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、偏离表</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bl>
      <w:tblPr>
        <w:tblStyle w:val="96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2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1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ind w:right="29"/>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67"/>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ascii="宋体" w:hAnsi="宋体" w:cs="宋体"/>
          <w:b/>
          <w:color w:val="auto"/>
          <w:sz w:val="36"/>
          <w:highlight w:val="none"/>
        </w:rPr>
        <w:br w:type="page" w:clear="all"/>
      </w:r>
      <w:r>
        <w:rPr>
          <w:rFonts w:hint="eastAsia" w:hAnsi="宋体" w:cs="宋体"/>
          <w:b/>
          <w:bCs/>
          <w:color w:val="auto"/>
          <w:sz w:val="36"/>
          <w:szCs w:val="36"/>
          <w:highlight w:val="none"/>
          <w:lang w:val="en-US" w:eastAsia="zh-CN" w:bidi="ar-SA"/>
        </w:rPr>
        <w:t xml:space="preserve">6</w:t>
      </w:r>
      <w:r>
        <w:rPr>
          <w:rFonts w:hint="eastAsia" w:ascii="宋体" w:hAnsi="宋体" w:eastAsia="宋体" w:cs="宋体"/>
          <w:b/>
          <w:bCs/>
          <w:color w:val="auto"/>
          <w:sz w:val="36"/>
          <w:szCs w:val="36"/>
          <w:highlight w:val="none"/>
          <w:lang w:val="en-US" w:eastAsia="zh-CN" w:bidi="ar-SA"/>
        </w:rPr>
        <w:t xml:space="preserve">、拟签订的合同文本</w:t>
      </w:r>
      <w:r/>
    </w:p>
    <w:p>
      <w:pPr>
        <w:pStyle w:val="1167"/>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168"/>
        <w:ind w:firstLine="442"/>
        <w:jc w:val="center"/>
        <w:spacing w:line="360" w:lineRule="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t xml:space="preserve">徐州市铜山区水务局</w:t>
      </w:r>
      <w:r/>
    </w:p>
    <w:p>
      <w:pPr>
        <w:pStyle w:val="1168"/>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铜山区2025年度河道堤防、小水库白蚁等害堤动物检查服务</w:t>
      </w:r>
      <w:r>
        <w:rPr>
          <w:rFonts w:hint="eastAsia" w:ascii="宋体" w:hAnsi="宋体" w:cs="宋体"/>
          <w:b/>
          <w:color w:val="auto"/>
          <w:sz w:val="44"/>
          <w:szCs w:val="44"/>
          <w:highlight w:val="none"/>
          <w:lang w:val="en-US" w:eastAsia="zh-CN"/>
        </w:rPr>
        <w:t xml:space="preserve">项目</w:t>
      </w:r>
      <w:r>
        <w:rPr>
          <w:rFonts w:hint="eastAsia" w:ascii="宋体" w:hAnsi="宋体" w:cs="宋体"/>
          <w:b/>
          <w:color w:val="auto"/>
          <w:sz w:val="44"/>
          <w:szCs w:val="44"/>
          <w:highlight w:val="none"/>
        </w:rPr>
        <w:t xml:space="preserve">合同</w:t>
      </w:r>
      <w:r/>
    </w:p>
    <w:p>
      <w:pPr>
        <w:pStyle w:val="1168"/>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68"/>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68"/>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项目编号：</w:t>
      </w:r>
      <w:r>
        <w:rPr>
          <w:rFonts w:hint="eastAsia" w:ascii="宋体" w:hAnsi="宋体" w:cs="宋体"/>
          <w:b/>
          <w:color w:val="auto"/>
          <w:sz w:val="30"/>
          <w:szCs w:val="30"/>
          <w:highlight w:val="none"/>
          <w:lang w:eastAsia="zh-CN"/>
        </w:rPr>
        <w:t xml:space="preserve">JSZC-320312-HWZX-C2025-0724</w:t>
      </w:r>
      <w:r/>
    </w:p>
    <w:p>
      <w:pPr>
        <w:pStyle w:val="1168"/>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铜山区2025年度河道堤防、小水库白蚁等害堤动物检查服务</w:t>
      </w:r>
      <w:r/>
    </w:p>
    <w:p>
      <w:pPr>
        <w:pStyle w:val="1168"/>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904"/>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r>
      <w:r/>
    </w:p>
    <w:p>
      <w:pPr>
        <w:pStyle w:val="1168"/>
        <w:ind w:firstLine="602"/>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lang w:val="en-US" w:eastAsia="zh-CN"/>
        </w:rPr>
        <w:t xml:space="preserve">甲    方</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徐州市铜山区水务局</w:t>
      </w:r>
      <w:r/>
    </w:p>
    <w:p>
      <w:pPr>
        <w:pStyle w:val="1168"/>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w:t>
      </w:r>
      <w:r>
        <w:rPr>
          <w:rFonts w:hint="eastAsia" w:ascii="宋体" w:hAnsi="宋体" w:cs="宋体"/>
          <w:b/>
          <w:color w:val="auto"/>
          <w:sz w:val="30"/>
          <w:szCs w:val="30"/>
          <w:highlight w:val="none"/>
          <w:lang w:val="en-US" w:eastAsia="zh-CN"/>
        </w:rPr>
        <w:t xml:space="preserve"> </w:t>
      </w:r>
      <w:r>
        <w:rPr>
          <w:rFonts w:hint="eastAsia" w:ascii="宋体" w:hAnsi="宋体" w:cs="宋体"/>
          <w:b/>
          <w:color w:val="auto"/>
          <w:sz w:val="30"/>
          <w:szCs w:val="30"/>
          <w:highlight w:val="none"/>
        </w:rPr>
        <w:t xml:space="preserve">方：</w:t>
      </w:r>
      <w:r/>
    </w:p>
    <w:p>
      <w:pPr>
        <w:pStyle w:val="1168"/>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904"/>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168"/>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168"/>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68"/>
        <w:jc w:val="both"/>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pStyle w:val="1168"/>
        <w:ind w:firstLine="562"/>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168"/>
        <w:ind w:firstLine="562"/>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1168"/>
        <w:ind w:firstLine="562"/>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 </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甲方：（采购人/买方）_________</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乙方：（供应商/卖方）_________</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甲、乙双方根据</w:t>
      </w:r>
      <w:r>
        <w:rPr>
          <w:rFonts w:hint="eastAsia" w:ascii="宋体" w:hAnsi="宋体" w:eastAsia="宋体" w:cs="宋体"/>
          <w:sz w:val="28"/>
          <w:szCs w:val="28"/>
          <w:highlight w:val="none"/>
          <w:lang w:eastAsia="zh-CN"/>
        </w:rPr>
        <w:t xml:space="preserve">铜山区2025年度河道堤防、小水库白蚁等害堤动物检查服务</w:t>
      </w:r>
      <w:r>
        <w:rPr>
          <w:rFonts w:hint="eastAsia" w:ascii="宋体" w:hAnsi="宋体" w:eastAsia="宋体" w:cs="宋体"/>
          <w:sz w:val="28"/>
          <w:szCs w:val="28"/>
          <w:highlight w:val="none"/>
          <w:lang w:val="en-US" w:eastAsia="zh-CN"/>
        </w:rPr>
        <w:t xml:space="preserve">项目公开招标</w:t>
      </w:r>
      <w:r>
        <w:rPr>
          <w:rFonts w:hint="eastAsia" w:ascii="宋体" w:hAnsi="宋体" w:eastAsia="宋体" w:cs="宋体"/>
          <w:sz w:val="28"/>
          <w:szCs w:val="28"/>
          <w:highlight w:val="none"/>
        </w:rPr>
        <w:t xml:space="preserve">的结果，签署本合同。</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一、合同内容</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标的名称：</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 标的质量：</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 标的数量（规模）：</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 履行时间（期限）：</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 履行地点：</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 履行方式：</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二、合同金额</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 本合同金额为（大写）：______</w:t>
      </w:r>
      <w:r>
        <w:rPr>
          <w:rFonts w:hint="eastAsia" w:hAnsi="宋体" w:cs="宋体"/>
          <w:sz w:val="28"/>
          <w:szCs w:val="28"/>
          <w:highlight w:val="none"/>
          <w:lang w:val="en-US" w:eastAsia="zh-CN"/>
        </w:rPr>
        <w:t xml:space="preserve">元</w:t>
      </w:r>
      <w:r>
        <w:rPr>
          <w:rFonts w:hint="eastAsia" w:ascii="宋体" w:hAnsi="宋体" w:eastAsia="宋体" w:cs="宋体"/>
          <w:sz w:val="28"/>
          <w:szCs w:val="28"/>
          <w:highlight w:val="none"/>
        </w:rPr>
        <w:t xml:space="preserve">（________元）人民币或其他币种。</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三、技术资料</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3.1乙方应按磋商文件规定的时间向甲方提供与合同标的有关的技术资料。</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四、知识产权</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五、产权担保</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5.1乙方保证所交付的合同标的的所有权完全属于乙方且无任何抵押、查封等产权瑕疵。</w:t>
      </w:r>
      <w:r/>
    </w:p>
    <w:p>
      <w:pPr>
        <w:pStyle w:val="1167"/>
        <w:ind w:firstLine="480"/>
        <w:spacing w:line="44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 xml:space="preserve">六、履约保证金</w:t>
      </w: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无</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七、合同转包或分包</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7.1乙方不得将合同标的转包给他人履行。</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7.2乙方不得将合同标的分包给他人履行。</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7.3乙方如有转包或未经甲方同意的分包行为，甲方有权解除合同。</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八、合同款项支付</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8.1合同款项的支付方式及进度安排</w:t>
      </w:r>
      <w:bookmarkStart w:id="3" w:name="_GoBack"/>
      <w:r/>
      <w:bookmarkEnd w:id="3"/>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（一）付款方式（提交预付款保函的）</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w:t>
      </w:r>
      <w:r>
        <w:rPr>
          <w:rFonts w:hint="eastAsia" w:ascii="宋体" w:hAnsi="宋体" w:eastAsia="宋体" w:cs="宋体"/>
          <w:sz w:val="28"/>
          <w:szCs w:val="28"/>
          <w:highlight w:val="none"/>
          <w:lang w:eastAsia="zh-CN"/>
        </w:rPr>
        <w:t xml:space="preserve">总价</w:t>
      </w:r>
      <w:r>
        <w:rPr>
          <w:rFonts w:hint="eastAsia" w:ascii="宋体" w:hAnsi="宋体" w:eastAsia="宋体" w:cs="宋体"/>
          <w:sz w:val="28"/>
          <w:szCs w:val="28"/>
          <w:highlight w:val="none"/>
        </w:rPr>
        <w:t xml:space="preserve">的百分之</w:t>
      </w:r>
      <w:r>
        <w:rPr>
          <w:rFonts w:hint="eastAsia" w:ascii="宋体" w:hAnsi="宋体" w:eastAsia="宋体" w:cs="宋体"/>
          <w:sz w:val="28"/>
          <w:szCs w:val="28"/>
          <w:highlight w:val="none"/>
          <w:lang w:eastAsia="zh-CN"/>
        </w:rPr>
        <w:t xml:space="preserve">四</w:t>
      </w: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0%)即￥    ，大写：人民币     元整，</w:t>
      </w:r>
      <w:r>
        <w:rPr>
          <w:rFonts w:hint="eastAsia" w:ascii="宋体" w:hAnsi="宋体" w:eastAsia="宋体" w:cs="宋体"/>
          <w:sz w:val="28"/>
          <w:szCs w:val="28"/>
          <w:highlight w:val="none"/>
          <w:lang w:eastAsia="zh-CN"/>
        </w:rPr>
        <w:t xml:space="preserve">在合同签订生效</w:t>
      </w:r>
      <w:r>
        <w:rPr>
          <w:rFonts w:hint="eastAsia" w:ascii="宋体" w:hAnsi="宋体" w:eastAsia="宋体" w:cs="宋体"/>
          <w:sz w:val="28"/>
          <w:szCs w:val="28"/>
          <w:highlight w:val="none"/>
        </w:rPr>
        <w:t xml:space="preserve">，乙方向甲方出具等额预付款保函后</w:t>
      </w:r>
      <w:r>
        <w:rPr>
          <w:rFonts w:hint="eastAsia" w:ascii="宋体" w:hAnsi="宋体" w:eastAsia="宋体" w:cs="宋体"/>
          <w:sz w:val="28"/>
          <w:szCs w:val="28"/>
          <w:highlight w:val="none"/>
          <w:lang w:val="en-US" w:eastAsia="zh-CN"/>
        </w:rPr>
        <w:t xml:space="preserve">10个工作日内</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甲方</w:t>
      </w:r>
      <w:r>
        <w:rPr>
          <w:rFonts w:hint="eastAsia" w:ascii="宋体" w:hAnsi="宋体" w:eastAsia="宋体" w:cs="宋体"/>
          <w:sz w:val="28"/>
          <w:szCs w:val="28"/>
          <w:highlight w:val="none"/>
        </w:rPr>
        <w:t xml:space="preserve">办理政府采购资金结算手续支付给乙方。</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合同总价的百分之</w:t>
      </w:r>
      <w:r>
        <w:rPr>
          <w:rFonts w:hint="eastAsia" w:ascii="宋体" w:hAnsi="宋体" w:eastAsia="宋体" w:cs="宋体"/>
          <w:sz w:val="28"/>
          <w:szCs w:val="28"/>
          <w:highlight w:val="none"/>
          <w:lang w:eastAsia="zh-CN"/>
        </w:rPr>
        <w:t xml:space="preserve">六</w:t>
      </w: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0%)即￥     ，大写：人民币    元整，乙方提交成果文件且验收合格后</w:t>
      </w:r>
      <w:r>
        <w:rPr>
          <w:rFonts w:hint="eastAsia" w:ascii="宋体" w:hAnsi="宋体" w:eastAsia="宋体" w:cs="宋体"/>
          <w:sz w:val="28"/>
          <w:szCs w:val="28"/>
          <w:highlight w:val="none"/>
          <w:lang w:val="en-US" w:eastAsia="zh-CN"/>
        </w:rPr>
        <w:t xml:space="preserve">10个工作日内，</w:t>
      </w:r>
      <w:r>
        <w:rPr>
          <w:rFonts w:hint="eastAsia" w:ascii="宋体" w:hAnsi="宋体" w:eastAsia="宋体" w:cs="宋体"/>
          <w:sz w:val="28"/>
          <w:szCs w:val="28"/>
          <w:highlight w:val="none"/>
          <w:lang w:eastAsia="zh-CN"/>
        </w:rPr>
        <w:t xml:space="preserve">甲方</w:t>
      </w:r>
      <w:r>
        <w:rPr>
          <w:rFonts w:hint="eastAsia" w:ascii="宋体" w:hAnsi="宋体" w:eastAsia="宋体" w:cs="宋体"/>
          <w:sz w:val="28"/>
          <w:szCs w:val="28"/>
          <w:highlight w:val="none"/>
        </w:rPr>
        <w:t xml:space="preserve">办理政府采购资金结算手续，经审核后支付给</w:t>
      </w:r>
      <w:r>
        <w:rPr>
          <w:rFonts w:hint="eastAsia" w:ascii="宋体" w:hAnsi="宋体" w:eastAsia="宋体" w:cs="宋体"/>
          <w:sz w:val="28"/>
          <w:szCs w:val="28"/>
          <w:highlight w:val="none"/>
          <w:lang w:eastAsia="zh-CN"/>
        </w:rPr>
        <w:t xml:space="preserve">乙方</w:t>
      </w:r>
      <w:r>
        <w:rPr>
          <w:rFonts w:hint="eastAsia" w:ascii="宋体" w:hAnsi="宋体" w:eastAsia="宋体" w:cs="宋体"/>
          <w:sz w:val="28"/>
          <w:szCs w:val="28"/>
          <w:highlight w:val="none"/>
        </w:rPr>
        <w:t xml:space="preserve">。</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乙方</w:t>
      </w:r>
      <w:r>
        <w:rPr>
          <w:rFonts w:hint="eastAsia" w:ascii="宋体" w:hAnsi="宋体" w:eastAsia="宋体" w:cs="宋体"/>
          <w:sz w:val="28"/>
          <w:szCs w:val="28"/>
          <w:highlight w:val="none"/>
        </w:rPr>
        <w:t xml:space="preserve">需提交的支付文件包括：</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乙方</w:t>
      </w:r>
      <w:r>
        <w:rPr>
          <w:rFonts w:hint="eastAsia" w:ascii="宋体" w:hAnsi="宋体" w:eastAsia="宋体" w:cs="宋体"/>
          <w:sz w:val="28"/>
          <w:szCs w:val="28"/>
          <w:highlight w:val="none"/>
        </w:rPr>
        <w:t xml:space="preserve">出具的全额正式发票；</w:t>
      </w:r>
      <w:r/>
    </w:p>
    <w:p>
      <w:pPr>
        <w:pStyle w:val="1167"/>
        <w:ind w:firstLine="480"/>
        <w:spacing w:line="44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二</w:t>
      </w:r>
      <w:r>
        <w:rPr>
          <w:rFonts w:hint="eastAsia" w:ascii="宋体" w:hAnsi="宋体" w:eastAsia="宋体" w:cs="宋体"/>
          <w:sz w:val="28"/>
          <w:szCs w:val="28"/>
          <w:highlight w:val="none"/>
        </w:rPr>
        <w:t xml:space="preserve">）付款方式（</w:t>
      </w:r>
      <w:r>
        <w:rPr>
          <w:rFonts w:hint="eastAsia" w:ascii="宋体" w:hAnsi="宋体" w:eastAsia="宋体" w:cs="宋体"/>
          <w:sz w:val="28"/>
          <w:szCs w:val="28"/>
          <w:highlight w:val="none"/>
          <w:lang w:eastAsia="zh-CN"/>
        </w:rPr>
        <w:t xml:space="preserve">不</w:t>
      </w:r>
      <w:r>
        <w:rPr>
          <w:rFonts w:hint="eastAsia" w:ascii="宋体" w:hAnsi="宋体" w:eastAsia="宋体" w:cs="宋体"/>
          <w:sz w:val="28"/>
          <w:szCs w:val="28"/>
          <w:highlight w:val="none"/>
        </w:rPr>
        <w:t xml:space="preserve">提交预付款保函的）</w:t>
      </w:r>
      <w:r/>
    </w:p>
    <w:p>
      <w:pPr>
        <w:pStyle w:val="1167"/>
        <w:ind w:firstLine="480"/>
        <w:spacing w:line="440" w:lineRule="exact"/>
        <w:shd w:val="clear" w:color="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eastAsia="zh-CN"/>
        </w:rPr>
        <w:t xml:space="preserve">合同总价的百分之十</w:t>
      </w:r>
      <w:r>
        <w:rPr>
          <w:rFonts w:hint="eastAsia" w:ascii="宋体" w:hAnsi="宋体" w:eastAsia="宋体" w:cs="宋体"/>
          <w:sz w:val="28"/>
          <w:szCs w:val="28"/>
          <w:highlight w:val="none"/>
          <w:lang w:val="en-US"/>
        </w:rPr>
        <w:t xml:space="preserve">(</w:t>
      </w:r>
      <w:r>
        <w:rPr>
          <w:rFonts w:hint="eastAsia" w:hAnsi="宋体" w:cs="宋体"/>
          <w:sz w:val="28"/>
          <w:szCs w:val="28"/>
          <w:highlight w:val="none"/>
          <w:lang w:val="en-US" w:eastAsia="zh-CN"/>
        </w:rPr>
        <w:t xml:space="preserve">1</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lang w:val="en-US"/>
        </w:rPr>
        <w:t xml:space="preserve">%)</w:t>
      </w:r>
      <w:r>
        <w:rPr>
          <w:rFonts w:hint="eastAsia" w:ascii="宋体" w:hAnsi="宋体" w:eastAsia="宋体" w:cs="宋体"/>
          <w:sz w:val="28"/>
          <w:szCs w:val="28"/>
          <w:highlight w:val="none"/>
          <w:lang w:eastAsia="zh-CN"/>
        </w:rPr>
        <w:t xml:space="preserve">即￥</w:t>
      </w:r>
      <w:r>
        <w:rPr>
          <w:rFonts w:hint="eastAsia" w:ascii="宋体" w:hAnsi="宋体" w:eastAsia="宋体" w:cs="宋体"/>
          <w:sz w:val="28"/>
          <w:szCs w:val="28"/>
          <w:highlight w:val="none"/>
          <w:lang w:val="en-US"/>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val="en-US"/>
        </w:rPr>
        <w:t xml:space="preserve"> </w:t>
      </w:r>
      <w:r>
        <w:rPr>
          <w:rFonts w:hint="eastAsia" w:ascii="宋体" w:hAnsi="宋体" w:eastAsia="宋体" w:cs="宋体"/>
          <w:sz w:val="28"/>
          <w:szCs w:val="28"/>
          <w:highlight w:val="none"/>
          <w:lang w:eastAsia="zh-CN"/>
        </w:rPr>
        <w:t xml:space="preserve">大写：</w:t>
      </w:r>
      <w:r>
        <w:rPr>
          <w:rFonts w:hint="eastAsia" w:ascii="宋体" w:hAnsi="宋体" w:eastAsia="宋体" w:cs="宋体"/>
          <w:sz w:val="28"/>
          <w:szCs w:val="28"/>
          <w:highlight w:val="none"/>
        </w:rPr>
        <w:t xml:space="preserve">人民币     元整</w:t>
      </w:r>
      <w:r>
        <w:rPr>
          <w:rFonts w:hint="eastAsia" w:ascii="宋体" w:hAnsi="宋体" w:eastAsia="宋体" w:cs="宋体"/>
          <w:sz w:val="28"/>
          <w:szCs w:val="28"/>
          <w:highlight w:val="none"/>
          <w:lang w:eastAsia="zh-CN"/>
        </w:rPr>
        <w:t xml:space="preserve">，在合同签订生效后</w:t>
      </w:r>
      <w:r>
        <w:rPr>
          <w:rFonts w:hint="eastAsia" w:ascii="宋体" w:hAnsi="宋体" w:eastAsia="宋体" w:cs="宋体"/>
          <w:sz w:val="28"/>
          <w:szCs w:val="28"/>
          <w:highlight w:val="none"/>
          <w:lang w:val="en-US" w:eastAsia="zh-CN"/>
        </w:rPr>
        <w:t xml:space="preserve">10个工作日内</w:t>
      </w:r>
      <w:r>
        <w:rPr>
          <w:rFonts w:hint="eastAsia" w:ascii="宋体" w:hAnsi="宋体" w:eastAsia="宋体" w:cs="宋体"/>
          <w:sz w:val="28"/>
          <w:szCs w:val="28"/>
          <w:highlight w:val="none"/>
          <w:lang w:eastAsia="zh-CN"/>
        </w:rPr>
        <w:t xml:space="preserve">，甲方</w:t>
      </w:r>
      <w:r>
        <w:rPr>
          <w:rFonts w:hint="eastAsia" w:ascii="宋体" w:hAnsi="宋体" w:eastAsia="宋体" w:cs="宋体"/>
          <w:sz w:val="28"/>
          <w:szCs w:val="28"/>
          <w:highlight w:val="none"/>
        </w:rPr>
        <w:t xml:space="preserve">办理政府采购资金结算手续</w:t>
      </w:r>
      <w:r>
        <w:rPr>
          <w:rFonts w:hint="eastAsia" w:hAnsi="宋体" w:cs="宋体"/>
          <w:sz w:val="28"/>
          <w:szCs w:val="28"/>
          <w:highlight w:val="none"/>
          <w:lang w:eastAsia="zh-CN"/>
        </w:rPr>
        <w:t xml:space="preserve">，</w:t>
      </w:r>
      <w:r>
        <w:rPr>
          <w:rFonts w:hint="eastAsia" w:hAnsi="宋体" w:cs="宋体"/>
          <w:sz w:val="28"/>
          <w:szCs w:val="28"/>
          <w:highlight w:val="none"/>
          <w:lang w:val="en-US" w:eastAsia="zh-CN"/>
        </w:rPr>
        <w:t xml:space="preserve">财政部门</w:t>
      </w:r>
      <w:r>
        <w:rPr>
          <w:rFonts w:hint="eastAsia" w:ascii="宋体" w:hAnsi="宋体" w:eastAsia="宋体" w:cs="宋体"/>
          <w:sz w:val="28"/>
          <w:szCs w:val="28"/>
          <w:highlight w:val="none"/>
        </w:rPr>
        <w:t xml:space="preserve">审核后支付给乙方</w:t>
      </w:r>
      <w:r>
        <w:rPr>
          <w:rFonts w:hint="eastAsia" w:ascii="宋体" w:hAnsi="宋体" w:eastAsia="宋体" w:cs="宋体"/>
          <w:sz w:val="28"/>
          <w:szCs w:val="28"/>
          <w:highlight w:val="none"/>
          <w:lang w:eastAsia="zh-CN"/>
        </w:rPr>
        <w:t xml:space="preserve">；</w:t>
      </w:r>
      <w:r/>
    </w:p>
    <w:p>
      <w:pPr>
        <w:pStyle w:val="1167"/>
        <w:ind w:firstLine="480"/>
        <w:spacing w:line="440" w:lineRule="exact"/>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合同总价的百分之</w:t>
      </w:r>
      <w:r>
        <w:rPr>
          <w:rFonts w:hint="eastAsia" w:hAnsi="宋体" w:cs="宋体"/>
          <w:sz w:val="28"/>
          <w:szCs w:val="28"/>
          <w:highlight w:val="none"/>
          <w:lang w:val="en-US" w:eastAsia="zh-CN"/>
        </w:rPr>
        <w:t xml:space="preserve">九</w:t>
      </w:r>
      <w:r>
        <w:rPr>
          <w:rFonts w:hint="eastAsia" w:ascii="宋体" w:hAnsi="宋体" w:eastAsia="宋体" w:cs="宋体"/>
          <w:sz w:val="28"/>
          <w:szCs w:val="28"/>
          <w:highlight w:val="none"/>
          <w:lang w:eastAsia="zh-CN"/>
        </w:rPr>
        <w:t xml:space="preserve">十</w:t>
      </w:r>
      <w:r>
        <w:rPr>
          <w:rFonts w:hint="eastAsia" w:ascii="宋体" w:hAnsi="宋体" w:eastAsia="宋体" w:cs="宋体"/>
          <w:sz w:val="28"/>
          <w:szCs w:val="28"/>
          <w:highlight w:val="none"/>
          <w:lang w:val="en-US"/>
        </w:rPr>
        <w:t xml:space="preserve">(</w:t>
      </w:r>
      <w:r>
        <w:rPr>
          <w:rFonts w:hint="eastAsia" w:hAnsi="宋体" w:cs="宋体"/>
          <w:sz w:val="28"/>
          <w:szCs w:val="28"/>
          <w:highlight w:val="none"/>
          <w:lang w:val="en-US" w:eastAsia="zh-CN"/>
        </w:rPr>
        <w:t xml:space="preserve">9</w:t>
      </w:r>
      <w:r>
        <w:rPr>
          <w:rFonts w:hint="eastAsia" w:ascii="宋体" w:hAnsi="宋体" w:eastAsia="宋体" w:cs="宋体"/>
          <w:sz w:val="28"/>
          <w:szCs w:val="28"/>
          <w:highlight w:val="none"/>
          <w:lang w:val="en-US" w:eastAsia="zh-CN"/>
        </w:rPr>
        <w:t xml:space="preserve">0</w:t>
      </w:r>
      <w:r>
        <w:rPr>
          <w:rFonts w:hint="eastAsia" w:ascii="宋体" w:hAnsi="宋体" w:eastAsia="宋体" w:cs="宋体"/>
          <w:sz w:val="28"/>
          <w:szCs w:val="28"/>
          <w:highlight w:val="none"/>
          <w:lang w:val="en-US"/>
        </w:rPr>
        <w:t xml:space="preserve">%)</w:t>
      </w:r>
      <w:r>
        <w:rPr>
          <w:rFonts w:hint="eastAsia" w:ascii="宋体" w:hAnsi="宋体" w:eastAsia="宋体" w:cs="宋体"/>
          <w:sz w:val="28"/>
          <w:szCs w:val="28"/>
          <w:highlight w:val="none"/>
          <w:lang w:eastAsia="zh-CN"/>
        </w:rPr>
        <w:t xml:space="preserve">即￥</w:t>
      </w:r>
      <w:r>
        <w:rPr>
          <w:rFonts w:hint="eastAsia" w:ascii="宋体" w:hAnsi="宋体" w:eastAsia="宋体" w:cs="宋体"/>
          <w:sz w:val="28"/>
          <w:szCs w:val="28"/>
          <w:highlight w:val="none"/>
          <w:lang w:val="en-US"/>
        </w:rPr>
        <w:t xml:space="preserve">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lang w:eastAsia="zh-CN"/>
        </w:rPr>
        <w:t xml:space="preserve">大写：</w:t>
      </w:r>
      <w:r>
        <w:rPr>
          <w:rFonts w:hint="eastAsia" w:ascii="宋体" w:hAnsi="宋体" w:eastAsia="宋体" w:cs="宋体"/>
          <w:sz w:val="28"/>
          <w:szCs w:val="28"/>
          <w:highlight w:val="none"/>
        </w:rPr>
        <w:t xml:space="preserve">人民币     元整</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乙方提交成果文件且验收合格后</w:t>
      </w:r>
      <w:r>
        <w:rPr>
          <w:rFonts w:hint="eastAsia" w:ascii="宋体" w:hAnsi="宋体" w:eastAsia="宋体" w:cs="宋体"/>
          <w:sz w:val="28"/>
          <w:szCs w:val="28"/>
          <w:highlight w:val="none"/>
          <w:lang w:val="en-US" w:eastAsia="zh-CN"/>
        </w:rPr>
        <w:t xml:space="preserve">10个工作日内，</w:t>
      </w:r>
      <w:r>
        <w:rPr>
          <w:rFonts w:hint="eastAsia" w:ascii="宋体" w:hAnsi="宋体" w:eastAsia="宋体" w:cs="宋体"/>
          <w:sz w:val="28"/>
          <w:szCs w:val="28"/>
          <w:highlight w:val="none"/>
        </w:rPr>
        <w:t xml:space="preserve">由</w:t>
      </w:r>
      <w:r>
        <w:rPr>
          <w:rFonts w:hint="eastAsia" w:ascii="宋体" w:hAnsi="宋体" w:eastAsia="宋体" w:cs="宋体"/>
          <w:sz w:val="28"/>
          <w:szCs w:val="28"/>
          <w:highlight w:val="none"/>
          <w:lang w:eastAsia="zh-CN"/>
        </w:rPr>
        <w:t xml:space="preserve">甲方</w:t>
      </w:r>
      <w:r>
        <w:rPr>
          <w:rFonts w:hint="eastAsia" w:ascii="宋体" w:hAnsi="宋体" w:eastAsia="宋体" w:cs="宋体"/>
          <w:sz w:val="28"/>
          <w:szCs w:val="28"/>
          <w:highlight w:val="none"/>
        </w:rPr>
        <w:t xml:space="preserve">办理政府采购资金结算手续，</w:t>
      </w:r>
      <w:r>
        <w:rPr>
          <w:rFonts w:hint="eastAsia" w:hAnsi="宋体" w:cs="宋体"/>
          <w:sz w:val="28"/>
          <w:szCs w:val="28"/>
          <w:highlight w:val="none"/>
          <w:lang w:val="en-US" w:eastAsia="zh-CN"/>
        </w:rPr>
        <w:t xml:space="preserve">财政部门</w:t>
      </w:r>
      <w:r>
        <w:rPr>
          <w:rFonts w:hint="eastAsia" w:ascii="宋体" w:hAnsi="宋体" w:eastAsia="宋体" w:cs="宋体"/>
          <w:sz w:val="28"/>
          <w:szCs w:val="28"/>
          <w:highlight w:val="none"/>
        </w:rPr>
        <w:t xml:space="preserve">审核后支付给</w:t>
      </w:r>
      <w:r>
        <w:rPr>
          <w:rFonts w:hint="eastAsia" w:ascii="宋体" w:hAnsi="宋体" w:eastAsia="宋体" w:cs="宋体"/>
          <w:sz w:val="28"/>
          <w:szCs w:val="28"/>
          <w:highlight w:val="none"/>
          <w:lang w:eastAsia="zh-CN"/>
        </w:rPr>
        <w:t xml:space="preserve">乙方</w:t>
      </w:r>
      <w:r>
        <w:rPr>
          <w:rFonts w:hint="eastAsia" w:ascii="宋体" w:hAnsi="宋体" w:eastAsia="宋体" w:cs="宋体"/>
          <w:sz w:val="28"/>
          <w:szCs w:val="28"/>
          <w:highlight w:val="none"/>
        </w:rPr>
        <w:t xml:space="preserve">。</w:t>
      </w:r>
      <w:r/>
    </w:p>
    <w:p>
      <w:pPr>
        <w:pStyle w:val="1167"/>
        <w:ind w:firstLine="480"/>
        <w:spacing w:line="440" w:lineRule="exact"/>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（在签订合同时，如乙方明确表示无需预付款的，甲方可凭最终验收报告，一次性支付乙方服务费用。（注：此条符合苏财购〔2020〕52号文件要求））</w:t>
      </w:r>
      <w:r/>
    </w:p>
    <w:p>
      <w:pPr>
        <w:pStyle w:val="1167"/>
        <w:ind w:firstLine="480"/>
        <w:spacing w:line="440" w:lineRule="exact"/>
        <w:shd w:val="clear" w:color="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乙方</w:t>
      </w:r>
      <w:r>
        <w:rPr>
          <w:rFonts w:hint="eastAsia" w:ascii="宋体" w:hAnsi="宋体" w:eastAsia="宋体" w:cs="宋体"/>
          <w:sz w:val="28"/>
          <w:szCs w:val="28"/>
          <w:highlight w:val="none"/>
        </w:rPr>
        <w:t xml:space="preserve">需提交的支付文件包括：</w:t>
      </w:r>
      <w:r/>
    </w:p>
    <w:p>
      <w:pPr>
        <w:pStyle w:val="1167"/>
        <w:ind w:firstLine="480"/>
        <w:spacing w:line="440" w:lineRule="exact"/>
        <w:shd w:val="clear" w:color="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乙方</w:t>
      </w:r>
      <w:r>
        <w:rPr>
          <w:rFonts w:hint="eastAsia" w:ascii="宋体" w:hAnsi="宋体" w:eastAsia="宋体" w:cs="宋体"/>
          <w:sz w:val="28"/>
          <w:szCs w:val="28"/>
          <w:highlight w:val="none"/>
        </w:rPr>
        <w:t xml:space="preserve">出具的全额正式发票；</w:t>
      </w:r>
      <w:r/>
    </w:p>
    <w:p>
      <w:pPr>
        <w:pStyle w:val="1167"/>
        <w:ind w:firstLine="480"/>
        <w:spacing w:line="440" w:lineRule="exact"/>
        <w:shd w:val="clear" w:color="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eastAsia="zh-CN"/>
        </w:rPr>
        <w:t xml:space="preserve">合同约定的乙方账户：</w:t>
      </w:r>
      <w:r/>
    </w:p>
    <w:p>
      <w:pPr>
        <w:pStyle w:val="1167"/>
        <w:ind w:firstLine="480"/>
        <w:spacing w:line="440" w:lineRule="exact"/>
        <w:shd w:val="clear" w:color="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eastAsia="zh-CN"/>
        </w:rPr>
        <w:t xml:space="preserve">开户银行：</w:t>
      </w:r>
      <w:r/>
    </w:p>
    <w:p>
      <w:pPr>
        <w:pStyle w:val="1167"/>
        <w:ind w:firstLine="480"/>
        <w:spacing w:line="440" w:lineRule="exact"/>
        <w:shd w:val="clear" w:color="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 xml:space="preserve">银行帐号：</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九、税费</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9.1本合同执行中相关的一切税费均由乙方负担。</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十、项目验收</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10.1甲方依法组织履约验收工作。</w:t>
      </w:r>
      <w:r/>
    </w:p>
    <w:p>
      <w:pPr>
        <w:pStyle w:val="1167"/>
        <w:ind w:firstLine="480"/>
        <w:spacing w:line="440" w:lineRule="exact"/>
        <w:rPr>
          <w:b/>
          <w:bCs/>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t xml:space="preserve">一</w:t>
      </w:r>
      <w:r>
        <w:rPr>
          <w:rFonts w:hint="eastAsia" w:ascii="宋体" w:hAnsi="宋体" w:eastAsia="宋体" w:cs="宋体"/>
          <w:b/>
          <w:bCs/>
          <w:sz w:val="28"/>
          <w:szCs w:val="28"/>
          <w:highlight w:val="none"/>
        </w:rPr>
        <w:t xml:space="preserve">）验收时间：2025年12月。</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t xml:space="preserve">二</w:t>
      </w:r>
      <w:r>
        <w:rPr>
          <w:rFonts w:hint="eastAsia" w:ascii="宋体" w:hAnsi="宋体" w:eastAsia="宋体" w:cs="宋体"/>
          <w:b/>
          <w:bCs/>
          <w:sz w:val="28"/>
          <w:szCs w:val="28"/>
          <w:highlight w:val="none"/>
        </w:rPr>
        <w:t xml:space="preserve">）验收主体：徐州市铜山区水务局</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t xml:space="preserve">三</w:t>
      </w:r>
      <w:r>
        <w:rPr>
          <w:rFonts w:hint="eastAsia" w:ascii="宋体" w:hAnsi="宋体" w:eastAsia="宋体" w:cs="宋体"/>
          <w:b/>
          <w:bCs/>
          <w:sz w:val="28"/>
          <w:szCs w:val="28"/>
          <w:highlight w:val="none"/>
        </w:rPr>
        <w:t xml:space="preserve">）验收地点：徐州市铜山区</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t xml:space="preserve">四</w:t>
      </w:r>
      <w:r>
        <w:rPr>
          <w:rFonts w:hint="eastAsia" w:ascii="宋体" w:hAnsi="宋体" w:eastAsia="宋体" w:cs="宋体"/>
          <w:b/>
          <w:bCs/>
          <w:sz w:val="28"/>
          <w:szCs w:val="28"/>
          <w:highlight w:val="none"/>
        </w:rPr>
        <w:t xml:space="preserve">）验收方式：2025年12月进行一次综合考评</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t xml:space="preserve">五</w:t>
      </w:r>
      <w:r>
        <w:rPr>
          <w:rFonts w:hint="eastAsia" w:ascii="宋体" w:hAnsi="宋体" w:eastAsia="宋体" w:cs="宋体"/>
          <w:b/>
          <w:bCs/>
          <w:sz w:val="28"/>
          <w:szCs w:val="28"/>
          <w:highlight w:val="none"/>
        </w:rPr>
        <w:t xml:space="preserve">）验收内容：根据《江苏省财政厅江苏省水利厅关于下达2025年第二批省以上水利发展资金预算的通知》（苏财农〔2025〕33号），对铜山区15座小型水库和762.1km河道堤防为白蚁等害堤动物危害检查及水库河道堤防基本情况调查2轮，根据调查、检查结果编写水库河道堤防基本情况调查报告、白蚁等害堤动物危害检查项目工作报告共计2个报告；并对白蚁等害堤动物进行治理、监测等。</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rPr>
        <w:t xml:space="preserve">六</w:t>
      </w:r>
      <w:r>
        <w:rPr>
          <w:rFonts w:hint="eastAsia" w:ascii="宋体" w:hAnsi="宋体" w:eastAsia="宋体" w:cs="宋体"/>
          <w:b/>
          <w:bCs/>
          <w:sz w:val="28"/>
          <w:szCs w:val="28"/>
          <w:highlight w:val="none"/>
        </w:rPr>
        <w:t xml:space="preserve">）验收标准：</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1、规范规程</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(1)《江苏省堤坝白蚁防治办法》</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(2)《堤坝白蚁防治技术规程》</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(3)《水利工程白蚁防治技术规程》</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2、有关文件</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(1)《水利部办公厅关于做好水利工程白蚁等害堤动物防治中央补助资金使用相关工作的通知》（办运管〔2023〕290号）</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(2)《江苏省财政厅江苏省水利厅关于提前下达2025年第二批省级以上水利发展资金预算的通知》（苏财农〔2025〕33号）</w:t>
      </w:r>
      <w:r>
        <w:rPr>
          <w:rFonts w:hint="eastAsia" w:ascii="宋体" w:hAnsi="宋体" w:eastAsia="宋体" w:cs="宋体"/>
          <w:b/>
          <w:bCs/>
          <w:sz w:val="28"/>
          <w:szCs w:val="28"/>
          <w:highlight w:val="none"/>
        </w:rPr>
      </w:r>
      <w:r/>
    </w:p>
    <w:p>
      <w:pPr>
        <w:pStyle w:val="1167"/>
        <w:ind w:firstLine="480"/>
        <w:spacing w:line="440" w:lineRule="exact"/>
        <w:rPr>
          <w:b/>
          <w:bCs/>
        </w:rPr>
      </w:pPr>
      <w:r>
        <w:rPr>
          <w:rFonts w:hint="eastAsia" w:ascii="宋体" w:hAnsi="宋体" w:eastAsia="宋体" w:cs="宋体"/>
          <w:b/>
          <w:bCs/>
          <w:sz w:val="28"/>
          <w:szCs w:val="28"/>
          <w:highlight w:val="none"/>
        </w:rPr>
        <w:t xml:space="preserve">(3)《市水利局关于转发《水利部办公厅关于做好水利工程白蚁等害堤动物防治中央补助资金安排使用相关工作的通知》的通知</w:t>
      </w:r>
      <w:r>
        <w:rPr>
          <w:rFonts w:hint="eastAsia" w:ascii="宋体" w:hAnsi="宋体" w:eastAsia="宋体" w:cs="宋体"/>
          <w:b/>
          <w:bCs/>
          <w:sz w:val="28"/>
          <w:szCs w:val="28"/>
          <w:highlight w:val="none"/>
        </w:rPr>
        <w:t xml:space="preserve">》（连水管〔2024〕10号）</w:t>
      </w:r>
      <w:r>
        <w:rPr>
          <w:rFonts w:hint="eastAsia" w:ascii="宋体" w:hAnsi="宋体" w:eastAsia="宋体" w:cs="宋体"/>
          <w:b/>
          <w:bCs/>
          <w:sz w:val="28"/>
          <w:szCs w:val="28"/>
          <w:highlight w:val="none"/>
        </w:rPr>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(4)水利部办公厅关于印发《水利工程白蚁等害堤动物防治工作实施方案(2024-2030年)》的通知(办运管(2024)20号)</w:t>
      </w:r>
      <w:r>
        <w:rPr>
          <w:rFonts w:hint="eastAsia" w:ascii="宋体" w:hAnsi="宋体" w:eastAsia="宋体" w:cs="宋体"/>
          <w:b/>
          <w:bCs/>
          <w:sz w:val="28"/>
          <w:szCs w:val="28"/>
          <w:highlight w:val="none"/>
        </w:rPr>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10.3对于实际使用人和甲方分离的项目，甲方邀请实际使用人参与验收。</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10.4如有必要，甲方邀请参加本项目的其他供应商或第三方专业机构及专家参与验收，相关意见将作为验收书的参考资料。</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67"/>
        <w:ind w:firstLine="480"/>
        <w:spacing w:line="440" w:lineRule="exact"/>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十一、责任</w:t>
      </w:r>
      <w:r>
        <w:rPr>
          <w:rFonts w:hint="eastAsia" w:hAnsi="宋体" w:cs="宋体"/>
          <w:b/>
          <w:bCs/>
          <w:sz w:val="28"/>
          <w:szCs w:val="28"/>
          <w:highlight w:val="none"/>
          <w:lang w:eastAsia="zh-CN"/>
        </w:rPr>
        <w:t xml:space="preserve">约定</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11.1甲方无正当理由拒绝接受乙方提供服务的，甲方向乙方偿付拒绝接受服务合同价款总值5%的违约金。</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11.2甲方无故逾期验收和办理合同款项支付手续的，甲方应按逾期付款总额每日万分之五每日向乙方支付违约金。</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5%的违约金，如造成甲方损失超过违约金的，超出部分由乙方继续承担赔偿责任。</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11.4乙方所提供服务的标准不符合合同规定及磋商文件规定标准的，甲方有权拒绝接受服务，并可单方面解除合同。</w:t>
      </w:r>
      <w:r/>
    </w:p>
    <w:p>
      <w:pPr>
        <w:pStyle w:val="1167"/>
        <w:ind w:firstLine="480"/>
        <w:spacing w:line="44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11.5</w:t>
      </w:r>
      <w:r>
        <w:rPr>
          <w:rFonts w:hint="eastAsia" w:ascii="宋体" w:hAnsi="宋体" w:eastAsia="宋体" w:cs="宋体"/>
          <w:sz w:val="28"/>
          <w:szCs w:val="28"/>
          <w:highlight w:val="none"/>
        </w:rPr>
        <w:t xml:space="preserve">乙方应对检</w:t>
      </w:r>
      <w:r>
        <w:rPr>
          <w:rFonts w:hint="eastAsia" w:ascii="宋体" w:hAnsi="宋体" w:eastAsia="宋体" w:cs="宋体"/>
          <w:sz w:val="28"/>
          <w:szCs w:val="28"/>
          <w:highlight w:val="none"/>
          <w:lang w:eastAsia="zh-CN"/>
        </w:rPr>
        <w:t xml:space="preserve">查</w:t>
      </w:r>
      <w:r>
        <w:rPr>
          <w:rFonts w:hint="eastAsia" w:ascii="宋体" w:hAnsi="宋体" w:eastAsia="宋体" w:cs="宋体"/>
          <w:sz w:val="28"/>
          <w:szCs w:val="28"/>
          <w:highlight w:val="none"/>
        </w:rPr>
        <w:t xml:space="preserve">人员开展安全教育培训，在本项目检</w:t>
      </w:r>
      <w:r>
        <w:rPr>
          <w:rFonts w:hint="eastAsia" w:ascii="宋体" w:hAnsi="宋体" w:eastAsia="宋体" w:cs="宋体"/>
          <w:sz w:val="28"/>
          <w:szCs w:val="28"/>
          <w:highlight w:val="none"/>
          <w:lang w:eastAsia="zh-CN"/>
        </w:rPr>
        <w:t xml:space="preserve">查</w:t>
      </w:r>
      <w:r>
        <w:rPr>
          <w:rFonts w:hint="eastAsia" w:ascii="宋体" w:hAnsi="宋体" w:eastAsia="宋体" w:cs="宋体"/>
          <w:sz w:val="28"/>
          <w:szCs w:val="28"/>
          <w:highlight w:val="none"/>
        </w:rPr>
        <w:t xml:space="preserve">工作过程中</w:t>
      </w:r>
      <w:r>
        <w:rPr>
          <w:rFonts w:hint="eastAsia" w:hAnsi="宋体" w:cs="宋体"/>
          <w:sz w:val="28"/>
          <w:szCs w:val="28"/>
          <w:highlight w:val="none"/>
          <w:lang w:eastAsia="zh-CN"/>
        </w:rPr>
        <w:t xml:space="preserve">（</w:t>
      </w:r>
      <w:r>
        <w:rPr>
          <w:rFonts w:hint="eastAsia" w:hAnsi="宋体" w:cs="宋体"/>
          <w:sz w:val="28"/>
          <w:szCs w:val="28"/>
          <w:highlight w:val="none"/>
          <w:lang w:val="en-US" w:eastAsia="zh-CN"/>
        </w:rPr>
        <w:t xml:space="preserve">含交通途中）</w:t>
      </w:r>
      <w:r>
        <w:rPr>
          <w:rFonts w:hint="eastAsia" w:ascii="宋体" w:hAnsi="宋体" w:eastAsia="宋体" w:cs="宋体"/>
          <w:sz w:val="28"/>
          <w:szCs w:val="28"/>
          <w:highlight w:val="none"/>
        </w:rPr>
        <w:t xml:space="preserve">发生的任何安全事故均由乙方负责。</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十二、不可抗力事件处理</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12.1在合同有效期内，任何一方因不可抗力事件导致不能履行合同，则合同履行期可延长，其延长期与不可抗力影响期相同。</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12.2不可抗力事件发生后，应立即通知对方，并寄送有关权威机构出具的证明。</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12.3不可抗力事件延续120天以上，双方应通过友好协商，确定是否继续履行合同。</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十三、解决争议的方法</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13.1双方在签订、履行合同中所发生的一切争议，应通过友好协商解决。如协商不成，由甲方住所地人民法院管辖。</w:t>
      </w:r>
      <w:r/>
    </w:p>
    <w:p>
      <w:pPr>
        <w:pStyle w:val="1167"/>
        <w:ind w:firstLine="480"/>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十四、合同生效及其它</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14.1合同经双方法定代表人或授权委托代表人签字并加盖单位公章后生效。</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14.2本合同未尽事宜，遵照《中华人民共和国民法典》《中华人民共和国政府采购法》有关条文执行。</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14.3本合同一式</w:t>
      </w:r>
      <w:r>
        <w:rPr>
          <w:rFonts w:hint="eastAsia" w:hAnsi="宋体" w:cs="宋体"/>
          <w:sz w:val="28"/>
          <w:szCs w:val="28"/>
          <w:highlight w:val="none"/>
          <w:lang w:val="en-US" w:eastAsia="zh-CN"/>
        </w:rPr>
        <w:t xml:space="preserve">陆</w:t>
      </w:r>
      <w:r>
        <w:rPr>
          <w:rFonts w:hint="eastAsia" w:ascii="宋体" w:hAnsi="宋体" w:eastAsia="宋体" w:cs="宋体"/>
          <w:sz w:val="28"/>
          <w:szCs w:val="28"/>
          <w:highlight w:val="none"/>
        </w:rPr>
        <w:t xml:space="preserve">份，具有同等法律效力，甲方、乙方各执</w:t>
      </w:r>
      <w:r>
        <w:rPr>
          <w:rFonts w:hint="eastAsia" w:hAnsi="宋体" w:cs="宋体"/>
          <w:sz w:val="28"/>
          <w:szCs w:val="28"/>
          <w:highlight w:val="none"/>
          <w:lang w:val="en-US" w:eastAsia="zh-CN"/>
        </w:rPr>
        <w:t xml:space="preserve">叁</w:t>
      </w:r>
      <w:r>
        <w:rPr>
          <w:rFonts w:hint="eastAsia" w:ascii="宋体" w:hAnsi="宋体" w:eastAsia="宋体" w:cs="宋体"/>
          <w:sz w:val="28"/>
          <w:szCs w:val="28"/>
          <w:highlight w:val="none"/>
        </w:rPr>
        <w:t xml:space="preserve">份。</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                             乙方：</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地址：</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法定代表人或授权代表：            法定代表人或授权代表：</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联系电话：                         联系电话：</w:t>
      </w:r>
      <w:r/>
    </w:p>
    <w:p>
      <w:pPr>
        <w:pStyle w:val="1167"/>
        <w:ind w:firstLine="480"/>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日期：年  月  日                   日期：年  月  日</w:t>
      </w:r>
      <w:r/>
    </w:p>
    <w:p>
      <w:pPr>
        <w:pStyle w:val="1168"/>
        <w:ind w:firstLine="562"/>
        <w:rPr>
          <w:rFonts w:hint="eastAsia" w:ascii="宋体" w:hAnsi="宋体" w:cs="宋体"/>
          <w:b/>
          <w:color w:val="auto"/>
          <w:sz w:val="28"/>
          <w:szCs w:val="28"/>
          <w:highlight w:val="none"/>
          <w:lang w:eastAsia="zh-CN"/>
        </w:rPr>
        <w:sectPr>
          <w:headerReference w:type="default" r:id="rId11"/>
          <w:footerReference w:type="default" r:id="rId16"/>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cs="宋体"/>
          <w:b/>
          <w:color w:val="auto"/>
          <w:sz w:val="28"/>
          <w:szCs w:val="28"/>
          <w:highlight w:val="none"/>
          <w:lang w:eastAsia="zh-CN"/>
        </w:rPr>
      </w:r>
      <w:r/>
    </w:p>
    <w:p>
      <w:pPr>
        <w:ind w:left="0" w:firstLine="0"/>
        <w:jc w:val="center"/>
        <w:spacing w:line="240" w:lineRule="auto"/>
        <w:rPr>
          <w:rFonts w:hint="eastAsia" w:cs="仿宋_GB2312"/>
          <w:b/>
          <w:bCs w:val="0"/>
          <w:color w:val="auto"/>
          <w:sz w:val="30"/>
          <w:szCs w:val="30"/>
          <w:highlight w:val="none"/>
          <w:lang w:eastAsia="zh-CN"/>
        </w:rPr>
      </w:pPr>
      <w:r>
        <w:rPr>
          <w:rFonts w:hint="eastAsia" w:cs="仿宋_GB2312"/>
          <w:b/>
          <w:bCs w:val="0"/>
          <w:color w:val="auto"/>
          <w:sz w:val="30"/>
          <w:szCs w:val="30"/>
          <w:highlight w:val="none"/>
          <w:lang w:eastAsia="zh-CN"/>
        </w:rPr>
      </w:r>
      <w:r/>
    </w:p>
    <w:p>
      <w:pPr>
        <w:pStyle w:val="1167"/>
        <w:jc w:val="center"/>
        <w:spacing w:after="312" w:line="520" w:lineRule="exact"/>
        <w:rPr>
          <w:rFonts w:hint="eastAsia" w:ascii="宋体" w:hAnsi="宋体" w:eastAsia="宋体" w:cs="宋体"/>
          <w:b/>
          <w:bCs/>
          <w:color w:val="auto"/>
          <w:sz w:val="36"/>
          <w:szCs w:val="36"/>
          <w:highlight w:val="none"/>
          <w:lang w:val="en-US" w:eastAsia="zh-CN" w:bidi="ar-SA"/>
        </w:rPr>
      </w:pPr>
      <w:r>
        <w:rPr>
          <w:rFonts w:hint="eastAsia" w:hAnsi="宋体" w:cs="宋体"/>
          <w:b/>
          <w:bCs/>
          <w:color w:val="auto"/>
          <w:sz w:val="36"/>
          <w:szCs w:val="36"/>
          <w:highlight w:val="none"/>
          <w:lang w:val="en-US" w:eastAsia="zh-CN" w:bidi="ar-SA"/>
        </w:rPr>
        <w:t xml:space="preserve">7</w:t>
      </w:r>
      <w:r>
        <w:rPr>
          <w:rFonts w:hint="eastAsia" w:ascii="宋体" w:hAnsi="宋体" w:eastAsia="宋体" w:cs="宋体"/>
          <w:b/>
          <w:bCs/>
          <w:color w:val="auto"/>
          <w:sz w:val="36"/>
          <w:szCs w:val="36"/>
          <w:highlight w:val="none"/>
          <w:lang w:val="en-US" w:eastAsia="zh-CN" w:bidi="ar-SA"/>
        </w:rPr>
        <w:t xml:space="preserve">、承诺书</w:t>
      </w:r>
      <w:r/>
    </w:p>
    <w:p>
      <w:pPr>
        <w:jc w:val="center"/>
        <w:keepLines w:val="0"/>
        <w:keepNext w:val="0"/>
        <w:pageBreakBefore w:val="0"/>
        <w:spacing w:line="288" w:lineRule="auto"/>
        <w:widowControl w:val="off"/>
        <w:rPr>
          <w:rFonts w:hint="eastAsia" w:ascii="宋体" w:hAnsi="宋体" w:cs="宋体"/>
          <w:color w:val="auto"/>
          <w:sz w:val="30"/>
          <w:szCs w:val="30"/>
          <w:highlight w:val="none"/>
        </w:rPr>
        <w:outlineLvl w:val="9"/>
      </w:pPr>
      <w:r>
        <w:rPr>
          <w:rFonts w:hint="eastAsia" w:ascii="宋体" w:hAnsi="宋体" w:cs="宋体"/>
          <w:color w:val="auto"/>
          <w:sz w:val="30"/>
          <w:szCs w:val="30"/>
          <w:highlight w:val="none"/>
        </w:rPr>
      </w:r>
      <w:r/>
    </w:p>
    <w:p>
      <w:pPr>
        <w:keepLines w:val="0"/>
        <w:keepNext w:val="0"/>
        <w:pageBreakBefore w:val="0"/>
        <w:spacing w:line="288" w:lineRule="auto"/>
        <w:widowControl w:val="off"/>
        <w:rPr>
          <w:rFonts w:hint="eastAsia" w:ascii="宋体" w:hAnsi="宋体" w:cs="宋体"/>
          <w:b/>
          <w:bCs/>
          <w:color w:val="auto"/>
          <w:sz w:val="24"/>
          <w:highlight w:val="none"/>
        </w:rPr>
        <w:outlineLvl w:val="9"/>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徐州市铜山区水务局</w:t>
      </w:r>
      <w:r>
        <w:rPr>
          <w:rFonts w:hint="eastAsia" w:ascii="宋体" w:hAnsi="宋体" w:cs="宋体"/>
          <w:b/>
          <w:bCs/>
          <w:color w:val="auto"/>
          <w:sz w:val="24"/>
          <w:highlight w:val="none"/>
        </w:rPr>
        <w:t xml:space="preserve">：</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JSZC-320312-HWZX-C2025-0724 </w:t>
      </w:r>
      <w:r>
        <w:rPr>
          <w:rFonts w:hint="eastAsia" w:ascii="宋体" w:hAnsi="宋体" w:cs="宋体"/>
          <w:color w:val="auto"/>
          <w:sz w:val="24"/>
          <w:szCs w:val="24"/>
          <w:highlight w:val="none"/>
        </w:rPr>
        <w:t xml:space="preserve">）要求，本供应商正式提交以下首次响应文件。</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8"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highlight w:val="none"/>
        </w:rPr>
        <w:t xml:space="preserve">（1）承诺书； </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（2）磋商报价表； </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（3）偏离表；</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72"/>
        <w:ind w:firstLine="480"/>
        <w:keepLines w:val="0"/>
        <w:keepNext w:val="0"/>
        <w:pageBreakBefore w:val="0"/>
        <w:spacing w:line="288"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五、报价有效期为30个工作日。</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keepLines w:val="0"/>
        <w:keepNext w:val="0"/>
        <w:pageBreakBefore w:val="0"/>
        <w:spacing w:line="288"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  年  月  日</w:t>
      </w:r>
      <w:r/>
    </w:p>
    <w:p>
      <w:pPr>
        <w:jc w:val="center"/>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cs="宋体"/>
          <w:b/>
          <w:bCs/>
          <w:color w:val="auto"/>
          <w:sz w:val="36"/>
          <w:szCs w:val="36"/>
          <w:highlight w:val="none"/>
          <w:lang w:val="en-US" w:eastAsia="zh-CN"/>
        </w:rPr>
        <w:t xml:space="preserve">8、授权委托书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   ）全权代表我企业（公司）参与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铜山区2025年度河道堤防、小水库白蚁等害堤动物检查服务</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JSZC-320312-HWZX-C2025-0724</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rPr>
        <w:t xml:space="preserve">）无转委托权。委托期限自   年  月 日起至  年  月  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10、中小企业声明函</w:t>
      </w:r>
      <w:r/>
    </w:p>
    <w:p>
      <w:pPr>
        <w:spacing w:before="100" w:after="100"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项目编号：</w:t>
      </w:r>
      <w:r/>
    </w:p>
    <w:p>
      <w:pPr>
        <w:spacing w:before="100" w:after="100"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项目名称：</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w:t>
      </w:r>
      <w:r>
        <w:rPr>
          <w:rFonts w:hint="eastAsia" w:ascii="宋体" w:hAnsi="宋体" w:eastAsia="宋体" w:cs="宋体"/>
          <w:sz w:val="28"/>
          <w:szCs w:val="28"/>
          <w:highlight w:val="none"/>
          <w:lang w:eastAsia="zh-CN"/>
        </w:rPr>
        <w:t xml:space="preserve">〔2020〕46号</w:t>
      </w:r>
      <w:r>
        <w:rPr>
          <w:rFonts w:hint="eastAsia" w:ascii="宋体" w:hAnsi="宋体" w:eastAsia="宋体" w:cs="宋体"/>
          <w:sz w:val="28"/>
          <w:szCs w:val="28"/>
          <w:highlight w:val="none"/>
        </w:rPr>
        <w:t xml:space="preserve">）的规定，本公司参加（</w:t>
      </w:r>
      <w:r>
        <w:rPr>
          <w:rFonts w:hint="eastAsia" w:ascii="宋体" w:hAnsi="宋体" w:cs="宋体"/>
          <w:sz w:val="28"/>
          <w:szCs w:val="28"/>
          <w:highlight w:val="none"/>
          <w:u w:val="single"/>
          <w:lang w:eastAsia="zh-CN"/>
        </w:rPr>
        <w:t xml:space="preserve">徐州市铜山区水务局</w:t>
      </w:r>
      <w:r>
        <w:rPr>
          <w:rFonts w:hint="eastAsia" w:ascii="宋体" w:hAnsi="宋体" w:eastAsia="宋体" w:cs="宋体"/>
          <w:sz w:val="28"/>
          <w:szCs w:val="28"/>
          <w:highlight w:val="none"/>
        </w:rPr>
        <w:t xml:space="preserve">）的（</w:t>
      </w:r>
      <w:r>
        <w:rPr>
          <w:rFonts w:hint="eastAsia" w:ascii="宋体" w:hAnsi="宋体" w:cs="宋体"/>
          <w:sz w:val="28"/>
          <w:szCs w:val="28"/>
          <w:highlight w:val="none"/>
          <w:u w:val="single"/>
          <w:lang w:eastAsia="zh-CN"/>
        </w:rPr>
        <w:t xml:space="preserve">铜山区2025年度河道堤防、小水库白蚁等害堤动物检查服务</w:t>
      </w:r>
      <w:r>
        <w:rPr>
          <w:rFonts w:hint="eastAsia" w:ascii="宋体" w:hAnsi="宋体" w:eastAsia="宋体" w:cs="宋体"/>
          <w:sz w:val="28"/>
          <w:szCs w:val="28"/>
          <w:highlight w:val="none"/>
        </w:rPr>
        <w:t xml:space="preserve">）采购活动，</w:t>
      </w:r>
      <w:r>
        <w:rPr>
          <w:rFonts w:hint="eastAsia" w:ascii="宋体" w:hAnsi="宋体" w:cs="宋体"/>
          <w:sz w:val="28"/>
          <w:szCs w:val="28"/>
          <w:highlight w:val="none"/>
          <w:lang w:val="en-US" w:eastAsia="zh-CN"/>
        </w:rPr>
        <w:t xml:space="preserve">服务</w:t>
      </w:r>
      <w:r>
        <w:rPr>
          <w:rFonts w:hint="eastAsia" w:ascii="宋体" w:hAnsi="宋体" w:eastAsia="宋体" w:cs="宋体"/>
          <w:sz w:val="28"/>
          <w:szCs w:val="28"/>
          <w:highlight w:val="none"/>
        </w:rPr>
        <w:t xml:space="preserve">全部由符合政策要求的中小企业</w:t>
      </w:r>
      <w:r>
        <w:rPr>
          <w:rFonts w:hint="eastAsia" w:ascii="宋体" w:hAnsi="宋体" w:cs="宋体"/>
          <w:sz w:val="28"/>
          <w:szCs w:val="28"/>
          <w:highlight w:val="none"/>
          <w:lang w:val="en-US" w:eastAsia="zh-CN"/>
        </w:rPr>
        <w:t xml:space="preserve">承接</w:t>
      </w:r>
      <w:r>
        <w:rPr>
          <w:rFonts w:hint="eastAsia" w:ascii="宋体" w:hAnsi="宋体" w:eastAsia="宋体" w:cs="宋体"/>
          <w:sz w:val="28"/>
          <w:szCs w:val="28"/>
          <w:highlight w:val="none"/>
        </w:rPr>
        <w:t xml:space="preserve">。相关企业的具体情况如下：</w:t>
      </w:r>
      <w:r/>
    </w:p>
    <w:p>
      <w:pPr>
        <w:pStyle w:val="1004"/>
        <w:ind w:left="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eastAsia="zh-CN"/>
        </w:rPr>
        <w:t xml:space="preserve">铜山区2025年度河道堤防、小水库白蚁等害堤动物检查服务</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none"/>
        </w:rPr>
        <w:t xml:space="preserve">其他未列明</w:t>
      </w:r>
      <w:r>
        <w:rPr>
          <w:rFonts w:hint="eastAsia" w:ascii="宋体" w:hAnsi="宋体" w:eastAsia="宋体" w:cs="宋体"/>
          <w:sz w:val="28"/>
          <w:szCs w:val="28"/>
          <w:highlight w:val="none"/>
        </w:rPr>
        <w:t xml:space="preserve">）行业；承建（承接）企业为（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）（企业名称），从业人员（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万元），属于（中型企业、小型企业、微型企业，</w:t>
      </w:r>
      <w:r>
        <w:rPr>
          <w:rFonts w:hint="eastAsia" w:ascii="宋体" w:hAnsi="宋体" w:eastAsia="宋体" w:cs="宋体"/>
          <w:color w:val="ff0000"/>
          <w:sz w:val="28"/>
          <w:szCs w:val="28"/>
          <w:highlight w:val="none"/>
        </w:rPr>
        <w:t xml:space="preserve">请勾选！</w:t>
      </w:r>
      <w:r>
        <w:rPr>
          <w:rFonts w:hint="eastAsia" w:ascii="宋体" w:hAnsi="宋体" w:eastAsia="宋体" w:cs="宋体"/>
          <w:sz w:val="28"/>
          <w:szCs w:val="28"/>
          <w:highlight w:val="none"/>
        </w:rPr>
        <w:t xml:space="preserve">）；</w:t>
      </w:r>
      <w:r/>
    </w:p>
    <w:p>
      <w:pPr>
        <w:pStyle w:val="1004"/>
        <w:ind w:left="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w:t>
      </w:r>
      <w:r/>
    </w:p>
    <w:p>
      <w:pPr>
        <w:pStyle w:val="1004"/>
        <w:ind w:left="0"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w:t>
      </w:r>
      <w:r>
        <w:rPr>
          <w:rFonts w:hint="eastAsia" w:ascii="宋体" w:hAnsi="宋体" w:eastAsia="宋体" w:cs="宋体"/>
          <w:sz w:val="28"/>
          <w:szCs w:val="28"/>
          <w:highlight w:val="none"/>
        </w:rPr>
        <w:t xml:space="preserve">月</w:t>
      </w:r>
      <w:r>
        <w:rPr>
          <w:rFonts w:hint="eastAsia" w:ascii="宋体" w:hAnsi="宋体" w:eastAsia="宋体" w:cs="宋体"/>
          <w:sz w:val="28"/>
          <w:szCs w:val="28"/>
          <w:highlight w:val="none"/>
        </w:rPr>
        <w:t xml:space="preserve">业的情形，也不存在与大企业的负责人为同一人的情形。</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pStyle w:val="1004"/>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004"/>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企业名称（电子签章）：</w:t>
      </w:r>
      <w:r/>
    </w:p>
    <w:p>
      <w:pPr>
        <w:pStyle w:val="1004"/>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日期：  年  月  日</w:t>
      </w:r>
      <w:r/>
    </w:p>
    <w:p>
      <w:pPr>
        <w:pStyle w:val="1004"/>
        <w:ind w:left="0"/>
        <w:jc w:val="left"/>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974"/>
        <w:ind w:left="0"/>
        <w:jc w:val="left"/>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说明：</w:t>
      </w:r>
      <w:r/>
    </w:p>
    <w:p>
      <w:pPr>
        <w:pStyle w:val="974"/>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74"/>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2、从业人员、营业收入、资产总额填报供应商上一年度数据，无上一年度数据的新成立企业可不填报。</w:t>
      </w:r>
      <w:r/>
    </w:p>
    <w:p>
      <w:pPr>
        <w:pStyle w:val="974"/>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3、中标、成交供应商为小型、微型企业的，采购人或者其委托的采购代理机构有权随中标、成交结果同时公告其《中小企业声明函》，接受社会监督。</w:t>
      </w:r>
      <w:r/>
    </w:p>
    <w:p>
      <w:pPr>
        <w:pStyle w:val="974"/>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4、执行江苏省财政厅关于进一步加大政府采购支持中小企业力度的通知（苏财购〔2022〕45号）的规定。</w:t>
      </w:r>
      <w:r/>
    </w:p>
    <w:p>
      <w:pPr>
        <w:pStyle w:val="974"/>
        <w:ind w:left="0"/>
        <w:spacing w:after="0" w:line="24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5、供应商提供的《中小企业声明函》与事实不符的，依照《政府采购法》第七十七条第一款的规定追究法律责任。</w:t>
      </w:r>
      <w:r/>
    </w:p>
    <w:p>
      <w:pPr>
        <w:jc w:val="left"/>
        <w:keepLines w:val="0"/>
        <w:keepNext w:val="0"/>
        <w:pageBreakBefore w:val="0"/>
        <w:spacing w:line="240" w:lineRule="auto"/>
        <w:widowControl/>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6、《中小企业声明函》查询渠道用微信搜索“中小企业规模类型自测小程序”。</w:t>
      </w:r>
      <w:r/>
    </w:p>
    <w:p>
      <w:pPr>
        <w:pStyle w:val="975"/>
        <w:rPr>
          <w:sz w:val="28"/>
          <w:szCs w:val="28"/>
          <w:highlight w:val="none"/>
        </w:rPr>
      </w:pPr>
      <w:r>
        <w:rPr>
          <w:sz w:val="28"/>
          <w:szCs w:val="28"/>
          <w:highlight w:val="none"/>
        </w:rPr>
      </w:r>
      <w:r/>
    </w:p>
    <w:p>
      <w:pPr>
        <w:ind w:left="0" w:right="0" w:firstLine="600"/>
        <w:jc w:val="center"/>
        <w:spacing w:before="0" w:after="0" w:line="479" w:lineRule="atLeast"/>
        <w:rPr>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1957705" cy="3806190"/>
                <wp:effectExtent l="0" t="0" r="4445" b="381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1"/>
                        <a:stretch/>
                      </pic:blipFill>
                      <pic:spPr bwMode="auto">
                        <a:xfrm>
                          <a:off x="0" y="0"/>
                          <a:ext cx="1957705" cy="3806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4.2pt;height:299.7pt;mso-wrap-distance-left:0.0pt;mso-wrap-distance-top:0.0pt;mso-wrap-distance-right:0.0pt;mso-wrap-distance-bottom:0.0pt;" stroked="f">
                <v:path textboxrect="0,0,0,0"/>
                <v:imagedata r:id="rId21" o:title=""/>
              </v:shape>
            </w:pict>
          </mc:Fallback>
        </mc:AlternateContent>
      </w:r>
      <w:r/>
    </w:p>
    <w:p>
      <w:pPr>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jc w:val="center"/>
        <w:spacing w:line="360" w:lineRule="auto"/>
        <w:rPr>
          <w:rFonts w:hint="eastAsia" w:ascii="宋体" w:hAnsi="宋体" w:cs="宋体"/>
          <w:b/>
          <w:color w:val="auto"/>
          <w:sz w:val="36"/>
          <w:szCs w:val="36"/>
          <w:highlight w:val="none"/>
        </w:rPr>
      </w:pPr>
      <w:r>
        <w:rPr>
          <w:rFonts w:hint="eastAsia" w:ascii="宋体" w:hAnsi="宋体" w:cs="宋体"/>
          <w:b/>
          <w:bCs/>
          <w:color w:val="auto"/>
          <w:sz w:val="36"/>
          <w:szCs w:val="36"/>
          <w:highlight w:val="none"/>
          <w:lang w:val="en-US" w:eastAsia="zh-CN"/>
        </w:rPr>
        <w:t xml:space="preserve">10</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 铜山区2025年度河道堤防、小水库白蚁等害堤动物检查服务</w:t>
      </w:r>
      <w:r>
        <w:rPr>
          <w:rFonts w:hint="eastAsia" w:ascii="宋体" w:hAnsi="宋体" w:cs="宋体"/>
          <w:color w:val="auto"/>
          <w:sz w:val="28"/>
          <w:szCs w:val="28"/>
          <w:highlight w:val="none"/>
          <w:u w:val="none"/>
          <w:lang w:val="en-US" w:eastAsia="zh-CN"/>
        </w:rPr>
        <w:t xml:space="preserve">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JSZC-320312-HWZX-C2025-0724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pStyle w:val="1166"/>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cs="宋体"/>
          <w:b/>
          <w:bCs/>
          <w:color w:val="auto"/>
          <w:sz w:val="36"/>
          <w:szCs w:val="36"/>
          <w:highlight w:val="none"/>
          <w:lang w:val="en-US" w:eastAsia="zh-CN"/>
        </w:rPr>
      </w:pPr>
      <w:r/>
      <w:bookmarkStart w:id="1" w:name="OLE_LINK14"/>
      <w:r/>
      <w:bookmarkStart w:id="2" w:name="OLE_LINK13"/>
      <w:r>
        <w:rPr>
          <w:rFonts w:hint="eastAsia" w:ascii="宋体" w:hAnsi="宋体" w:cs="宋体"/>
          <w:b/>
          <w:bCs/>
          <w:color w:val="auto"/>
          <w:sz w:val="36"/>
          <w:szCs w:val="36"/>
          <w:highlight w:val="none"/>
          <w:lang w:val="en-US" w:eastAsia="zh-CN"/>
        </w:rPr>
        <w:t xml:space="preserve">11、残疾人福利性单位声明函</w:t>
      </w:r>
      <w:bookmarkEnd w:id="1"/>
      <w:r/>
      <w:bookmarkEnd w:id="2"/>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1004"/>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360" w:lineRule="auto"/>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lang w:val="en-US" w:eastAsia="zh-CN"/>
        </w:rPr>
        <w:t xml:space="preserve">2</w:t>
      </w:r>
      <w:r>
        <w:rPr>
          <w:rFonts w:hint="eastAsia" w:ascii="宋体" w:hAnsi="宋体" w:eastAsia="宋体" w:cs="宋体"/>
          <w:b/>
          <w:bCs/>
          <w:color w:val="auto"/>
          <w:sz w:val="36"/>
          <w:szCs w:val="36"/>
          <w:highlight w:val="none"/>
          <w:lang w:val="en-US" w:eastAsia="zh-CN"/>
        </w:rPr>
        <w:t xml:space="preserve">、具备履行合同所必需的设备和专业技术能力的书面声明（附证明材料扫描件）格式（供应商可自行拟定）</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供应商郑重声明：</w:t>
      </w:r>
      <w:r>
        <w:rPr>
          <w:rFonts w:hint="eastAsia" w:ascii="宋体" w:hAnsi="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具备履行合同（项目名称：</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，项目编号：</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 所必需的设备和专业技术能力， 具体为：</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专业技术能力：</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3、（证明材料扫描件附后）</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特此声明。</w:t>
      </w:r>
      <w:r/>
    </w:p>
    <w:p>
      <w:pP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供应商对上述声明的真实性负责。如有虚假，将依法承担相应责任。</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1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29"/>
        <w:spacing w:line="360" w:lineRule="auto"/>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供应商</w:t>
      </w:r>
      <w:r>
        <w:rPr>
          <w:rFonts w:hint="eastAsia" w:ascii="宋体" w:hAnsi="宋体" w:eastAsia="宋体" w:cs="宋体"/>
          <w:b/>
          <w:bCs/>
          <w:color w:val="auto"/>
          <w:sz w:val="28"/>
          <w:szCs w:val="28"/>
          <w:highlight w:val="none"/>
        </w:rPr>
        <w:t xml:space="preserve">（电子签章）：</w:t>
      </w: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jc w:val="center"/>
        <w:spacing w:line="360" w:lineRule="auto"/>
        <w:rPr>
          <w:rFonts w:hint="eastAsia" w:ascii="宋体" w:hAnsi="宋体" w:cs="宋体"/>
          <w:b/>
          <w:bCs/>
          <w:color w:val="auto"/>
          <w:sz w:val="36"/>
          <w:szCs w:val="36"/>
          <w:highlight w:val="none"/>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13、代理服务收费标准</w:t>
      </w:r>
      <w:r/>
    </w:p>
    <w:tbl>
      <w:tblPr>
        <w:tblStyle w:val="9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6"/>
        <w:gridCol w:w="3312"/>
      </w:tblGrid>
      <w:tr>
        <w:trP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p>
        </w:tc>
      </w:tr>
      <w:tr>
        <w:trP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ind w:left="0" w:right="0" w:firstLine="0"/>
              <w:jc w:val="center"/>
              <w:spacing w:before="0" w:after="0" w:line="24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p>
        </w:tc>
      </w:tr>
    </w:tbl>
    <w:p>
      <w:pPr>
        <w:ind w:left="0" w:right="0" w:firstLine="0"/>
        <w:jc w:val="both"/>
        <w:keepLines w:val="0"/>
        <w:keepNext w:val="0"/>
        <w:pageBreakBefore w:val="0"/>
        <w:spacing w:before="0" w:after="0" w:line="440" w:lineRule="exact"/>
        <w:widowControl w:val="off"/>
        <w:rPr>
          <w:rFonts w:hint="eastAsia"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说明：</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按上表计算的收费为代理服务全过程的收费金额。各社会代理机构不再收取采购文件制作售卖费用。</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代理服务费按差额定率累进法计算。</w:t>
      </w:r>
      <w:r/>
    </w:p>
    <w:p>
      <w:pPr>
        <w:ind w:left="0" w:right="0" w:firstLine="0"/>
        <w:jc w:val="both"/>
        <w:keepLines w:val="0"/>
        <w:keepNext w:val="0"/>
        <w:pageBreakBefore w:val="0"/>
        <w:spacing w:before="0" w:after="0" w:line="440" w:lineRule="exact"/>
        <w:widowControl w:val="off"/>
        <w:rPr>
          <w:rFonts w:hint="default" w:ascii="宋体" w:hAnsi="宋体" w:eastAsia="宋体" w:cs="宋体"/>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3</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代理服务费基准金额(按差额定率累进法计算的)=中标金额(按差额定率累进法计算的)*费率(%)</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代理服务费应收取金额=代理服务费基准金额(按差额定率累进法计算的)的合计数。</w:t>
      </w:r>
      <w:r/>
    </w:p>
    <w:p>
      <w:pPr>
        <w:ind w:left="0" w:right="0" w:firstLine="0"/>
        <w:jc w:val="both"/>
        <w:keepLines w:val="0"/>
        <w:keepNext w:val="0"/>
        <w:pageBreakBefore w:val="0"/>
        <w:spacing w:before="0" w:after="0" w:line="440" w:lineRule="exact"/>
        <w:widowControl w:val="off"/>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t xml:space="preserve">5</w:t>
      </w:r>
      <w:r>
        <w:rPr>
          <w:rFonts w:hint="eastAsia" w:ascii="宋体" w:hAnsi="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定点类等无金额或事先不能计算出价格总额的项目，按中标(成交)金额100万元计算。</w:t>
      </w:r>
      <w:r/>
    </w:p>
    <w:p>
      <w:pPr>
        <w:ind w:left="0" w:right="0" w:firstLine="0"/>
        <w:jc w:val="both"/>
        <w:keepLines w:val="0"/>
        <w:keepNext w:val="0"/>
        <w:pageBreakBefore w:val="0"/>
        <w:spacing w:before="0" w:after="0" w:line="440" w:lineRule="exact"/>
        <w:widowControl w:val="off"/>
        <w:rPr>
          <w:rFonts w:ascii="宋体" w:hAnsi="宋体" w:cs="宋体"/>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8"/>
          <w:szCs w:val="28"/>
          <w:highlight w:val="none"/>
          <w:lang w:val="en-US" w:eastAsia="zh-CN"/>
        </w:rPr>
        <w:t xml:space="preserve">6</w:t>
      </w:r>
      <w:r>
        <w:rPr>
          <w:rFonts w:hint="eastAsia" w:ascii="宋体" w:hAnsi="宋体" w:cs="宋体"/>
          <w:b w:val="0"/>
          <w:bCs w:val="0"/>
          <w:color w:val="000000"/>
          <w:sz w:val="28"/>
          <w:szCs w:val="28"/>
          <w:highlight w:val="none"/>
          <w:lang w:eastAsia="zh-CN"/>
        </w:rPr>
        <w:t xml:space="preserve">、有分包（分标段）的按一个项目计算</w:t>
      </w:r>
      <w:r>
        <w:rPr>
          <w:rFonts w:hint="eastAsia" w:ascii="宋体" w:hAnsi="宋体" w:eastAsia="宋体" w:cs="宋体"/>
          <w:b w:val="0"/>
          <w:bCs w:val="0"/>
          <w:color w:val="000000"/>
          <w:sz w:val="28"/>
          <w:szCs w:val="28"/>
          <w:highlight w:val="none"/>
        </w:rPr>
        <w:t xml:space="preserve">。</w:t>
      </w:r>
      <w:r>
        <w:rPr>
          <w:b w:val="0"/>
          <w:bCs w:val="0"/>
        </w:rPr>
      </w:r>
    </w:p>
    <w:p>
      <w:pPr>
        <w:ind w:left="0" w:right="0" w:firstLine="0"/>
        <w:jc w:val="both"/>
        <w:keepLines w:val="0"/>
        <w:keepNext w:val="0"/>
        <w:pageBreakBefore w:val="0"/>
        <w:spacing w:before="0" w:after="0" w:line="440" w:lineRule="exact"/>
        <w:widowControl w:val="off"/>
        <w:rPr>
          <w:rFonts w:hint="eastAsia" w:ascii="宋体" w:hAnsi="宋体" w:cs="宋体"/>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8"/>
          <w:szCs w:val="28"/>
          <w:highlight w:val="none"/>
          <w:lang w:val="en-US" w:eastAsia="zh-CN"/>
        </w:rPr>
      </w:r>
      <w:r>
        <w:rPr>
          <w:rFonts w:hint="eastAsia" w:ascii="宋体" w:hAnsi="宋体" w:cs="宋体"/>
          <w:b w:val="0"/>
          <w:bCs w:val="0"/>
          <w:color w:val="000000"/>
          <w:sz w:val="28"/>
          <w:szCs w:val="28"/>
          <w:highlight w:val="none"/>
          <w:lang w:val="en-US" w:eastAsia="zh-CN"/>
        </w:rPr>
        <w:t xml:space="preserve">7.以上价格为协会指导价，双方可根据项目难易程度和优质优价原则协商确定。</w:t>
      </w:r>
      <w:r>
        <w:rPr>
          <w:rFonts w:hint="eastAsia" w:ascii="宋体" w:hAnsi="宋体" w:cs="宋体"/>
          <w:b w:val="0"/>
          <w:bCs w:val="0"/>
          <w:color w:val="000000"/>
          <w:sz w:val="28"/>
          <w:szCs w:val="28"/>
          <w:highlight w:val="none"/>
          <w:lang w:val="en-US" w:eastAsia="zh-CN"/>
        </w:rPr>
      </w:r>
      <w:r>
        <w:rPr>
          <w:rFonts w:hint="eastAsia" w:ascii="宋体" w:hAnsi="宋体" w:cs="宋体"/>
          <w:b w:val="0"/>
          <w:bCs w:val="0"/>
          <w:sz w:val="28"/>
          <w:szCs w:val="28"/>
          <w:highlight w:val="none"/>
        </w:rPr>
      </w:r>
    </w:p>
    <w:p>
      <w:pPr>
        <w:jc w:val="center"/>
        <w:spacing w:line="360" w:lineRule="auto"/>
        <w:rPr>
          <w:rFonts w:hint="eastAsia" w:ascii="宋体" w:hAnsi="宋体" w:cs="宋体"/>
          <w:b/>
          <w:bCs/>
          <w:color w:val="auto"/>
          <w:sz w:val="36"/>
          <w:szCs w:val="36"/>
          <w:highlight w:val="none"/>
          <w:lang w:val="en-US" w:eastAsia="zh-CN"/>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szCs w:val="36"/>
          <w:highlight w:val="none"/>
          <w:lang w:val="en-US" w:eastAsia="zh-CN"/>
        </w:rPr>
      </w:r>
      <w:r/>
    </w:p>
    <w:p>
      <w:pPr>
        <w:jc w:val="center"/>
        <w:spacing w:line="360" w:lineRule="auto"/>
        <w:rPr>
          <w:rFonts w:hint="eastAsia" w:ascii="宋体" w:hAnsi="宋体" w:cs="宋体"/>
          <w:b/>
          <w:bCs/>
          <w:color w:val="auto"/>
          <w:sz w:val="36"/>
          <w:szCs w:val="36"/>
          <w:highlight w:val="none"/>
          <w:lang w:val="en-US" w:eastAsia="zh-CN"/>
        </w:rPr>
      </w:pPr>
      <w:r>
        <w:rPr>
          <w:rFonts w:hint="eastAsia" w:ascii="宋体" w:hAnsi="宋体" w:cs="宋体"/>
          <w:b/>
          <w:bCs/>
          <w:color w:val="auto"/>
          <w:sz w:val="36"/>
          <w:szCs w:val="36"/>
          <w:highlight w:val="none"/>
          <w:lang w:val="en-US" w:eastAsia="zh-CN"/>
        </w:rPr>
        <w:t xml:space="preserve">14、预付款保函支付条款模板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乙方需提交的支付文件：乙方出具的全额正式发票。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   个工作日内，甲方应支付合同价款的百分之XX（    XX%），小写￥      大写：人民币          。</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pStyle w:val="1004"/>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p>
      <w:pPr>
        <w:rPr>
          <w:color w:val="auto"/>
          <w:highlight w:val="none"/>
        </w:rPr>
      </w:pPr>
      <w:r>
        <w:rPr>
          <w:color w:val="auto"/>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仿宋">
    <w:panose1 w:val="02010609060101010101"/>
  </w:font>
  <w:font w:name="Courier New">
    <w:panose1 w:val="02070309020205020404"/>
  </w:font>
  <w:font w:name="仿宋_GB2312">
    <w:panose1 w:val="02010609060101010101"/>
  </w:font>
  <w:font w:name="黑体">
    <w:panose1 w:val="02010609060101010101"/>
  </w:font>
  <w:font w:name="Wingdings">
    <w:panose1 w:val="05000000000000000000"/>
  </w:font>
  <w:font w:name="微软简楷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10</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rPr>
        <w:rStyle w:val="1174"/>
      </w:rPr>
      <w:framePr w:wrap="around" w:vAnchor="text" w:hAnchor="margin" w:xAlign="center" w:y="1"/>
    </w:pPr>
    <w:r>
      <w:fldChar w:fldCharType="begin"/>
    </w:r>
    <w:r>
      <w:rPr>
        <w:rStyle w:val="1174"/>
      </w:rPr>
      <w:instrText xml:space="preserve">PAGE  </w:instrText>
    </w:r>
    <w:r>
      <w:fldChar w:fldCharType="end"/>
    </w:r>
    <w:r/>
  </w:p>
  <w:p>
    <w:pPr>
      <w:pStyle w:val="11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widowControl/>
      <w:rPr>
        <w:rStyle w:val="1176"/>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p>
                    <w:r/>
                    <w:r/>
                  </w:p>
                  <w:p>
                    <w:r/>
                    <w:r/>
                  </w:p>
                </w:txbxContent>
              </v:textbox>
            </v:shape>
          </w:pict>
        </mc:Fallback>
      </mc:AlternateContent>
    </w:r>
    <w:r>
      <w:rPr>
        <w:rStyle w:val="1176"/>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72"/>
                            <w:widowControl/>
                            <w:tabs>
                              <w:tab w:val="clear" w:pos="4153" w:leader="none"/>
                              <w:tab w:val="clear" w:pos="8306" w:leader="none"/>
                            </w:tabs>
                            <w:rPr>
                              <w:rStyle w:val="1176"/>
                              <w:sz w:val="18"/>
                              <w:szCs w:val="18"/>
                            </w:rPr>
                          </w:pPr>
                          <w:r>
                            <w:rPr>
                              <w:sz w:val="18"/>
                              <w:szCs w:val="18"/>
                            </w:rPr>
                          </w:r>
                          <w:r/>
                        </w:p>
                        <w:p>
                          <w:pPr>
                            <w:widowControl/>
                            <w:rPr>
                              <w:rStyle w:val="1176"/>
                            </w:rPr>
                          </w:pPr>
                          <w:r/>
                          <w:r/>
                        </w:p>
                        <w:p>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72"/>
                      <w:widowControl/>
                      <w:tabs>
                        <w:tab w:val="clear" w:pos="4153" w:leader="none"/>
                        <w:tab w:val="clear" w:pos="8306" w:leader="none"/>
                      </w:tabs>
                      <w:rPr>
                        <w:rStyle w:val="1176"/>
                        <w:sz w:val="18"/>
                        <w:szCs w:val="18"/>
                      </w:rPr>
                    </w:pPr>
                    <w:r>
                      <w:rPr>
                        <w:sz w:val="18"/>
                        <w:szCs w:val="18"/>
                      </w:rPr>
                    </w:r>
                    <w:r/>
                  </w:p>
                  <w:p>
                    <w:pPr>
                      <w:widowControl/>
                      <w:rPr>
                        <w:rStyle w:val="1176"/>
                      </w:rPr>
                    </w:p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58</w:t>
                    </w:r>
                    <w:r>
                      <w:rPr>
                        <w:rFonts w:hint="eastAsia"/>
                        <w:lang w:eastAsia="zh-CN"/>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ind w:left="5866" w:hanging="5866"/>
      <w:jc w:val="left"/>
      <w:rPr>
        <w:rFonts w:hint="eastAsia"/>
      </w:rPr>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176"/>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6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5"/>
  </w:num>
  <w:num w:numId="5">
    <w:abstractNumId w:val="1"/>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next w:val="961"/>
    <w:link w:val="1176"/>
    <w:uiPriority w:val="0"/>
    <w:qFormat/>
    <w:pPr>
      <w:jc w:val="both"/>
      <w:widowControl w:val="off"/>
    </w:pPr>
    <w:rPr>
      <w:rFonts w:hint="default" w:ascii="Calibri" w:hAnsi="Calibri" w:eastAsia="宋体" w:cs="Times New Roman"/>
      <w:sz w:val="21"/>
      <w:szCs w:val="24"/>
      <w:lang w:val="en-US" w:eastAsia="zh-CN" w:bidi="ar-SA"/>
    </w:rPr>
  </w:style>
  <w:style w:type="paragraph" w:styleId="950">
    <w:name w:val="Heading 1"/>
    <w:basedOn w:val="949"/>
    <w:next w:val="949"/>
    <w:link w:val="1015"/>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link w:val="1016"/>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link w:val="1017"/>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link w:val="1018"/>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link w:val="1019"/>
    <w:uiPriority w:val="9"/>
    <w:unhideWhenUsed/>
    <w:qFormat/>
    <w:pPr>
      <w:keepLines/>
      <w:keepNext/>
      <w:spacing w:before="320" w:after="200"/>
      <w:outlineLvl w:val="4"/>
    </w:pPr>
    <w:rPr>
      <w:rFonts w:ascii="Arial" w:hAnsi="Arial" w:eastAsia="Arial" w:cs="Arial"/>
      <w:b/>
      <w:bCs/>
      <w:sz w:val="24"/>
      <w:szCs w:val="24"/>
    </w:rPr>
  </w:style>
  <w:style w:type="paragraph" w:styleId="955">
    <w:name w:val="Heading 6"/>
    <w:basedOn w:val="949"/>
    <w:next w:val="949"/>
    <w:link w:val="1020"/>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link w:val="1021"/>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link w:val="1022"/>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link w:val="1023"/>
    <w:uiPriority w:val="9"/>
    <w:unhideWhenUsed/>
    <w:qFormat/>
    <w:pPr>
      <w:keepLines/>
      <w:keepNext/>
      <w:spacing w:before="320" w:after="200"/>
      <w:outlineLvl w:val="8"/>
    </w:pPr>
    <w:rPr>
      <w:rFonts w:ascii="Arial" w:hAnsi="Arial" w:eastAsia="Arial" w:cs="Arial"/>
      <w:i/>
      <w:iCs/>
      <w:sz w:val="21"/>
      <w:szCs w:val="21"/>
    </w:rPr>
  </w:style>
  <w:style w:type="character" w:styleId="959" w:default="1">
    <w:name w:val="Default Paragraph Font"/>
    <w:uiPriority w:val="0"/>
    <w:semiHidden/>
    <w:qFormat/>
  </w:style>
  <w:style w:type="table" w:styleId="960" w:default="1">
    <w:name w:val="Normal Table"/>
    <w:uiPriority w:val="0"/>
    <w:semiHidden/>
    <w:qFormat/>
    <w:tblPr>
      <w:tblCellMar>
        <w:left w:w="108" w:type="dxa"/>
        <w:top w:w="0" w:type="dxa"/>
        <w:right w:w="108" w:type="dxa"/>
        <w:bottom w:w="0" w:type="dxa"/>
      </w:tblCellMar>
    </w:tblPr>
  </w:style>
  <w:style w:type="paragraph" w:styleId="961" w:customStyle="1">
    <w:name w:val="正文首行缩进 21"/>
    <w:basedOn w:val="962"/>
    <w:next w:val="949"/>
    <w:uiPriority w:val="0"/>
    <w:qFormat/>
    <w:pPr>
      <w:ind w:firstLine="420"/>
    </w:pPr>
  </w:style>
  <w:style w:type="paragraph" w:styleId="962" w:customStyle="1">
    <w:name w:val="正文文本缩进11"/>
    <w:basedOn w:val="963"/>
    <w:uiPriority w:val="0"/>
    <w:qFormat/>
    <w:pPr>
      <w:ind w:firstLine="425"/>
      <w:spacing w:line="360" w:lineRule="auto"/>
    </w:pPr>
  </w:style>
  <w:style w:type="paragraph" w:styleId="963" w:customStyle="1">
    <w:name w:val="正文112"/>
    <w:next w:val="9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1"/>
    <w:basedOn w:val="965"/>
    <w:next w:val="969"/>
    <w:uiPriority w:val="0"/>
    <w:qFormat/>
    <w:pPr>
      <w:ind w:firstLine="420"/>
      <w:spacing w:after="120"/>
    </w:pPr>
    <w:rPr>
      <w:rFonts w:ascii="Times New Roman"/>
      <w:szCs w:val="24"/>
    </w:rPr>
  </w:style>
  <w:style w:type="paragraph" w:styleId="965">
    <w:name w:val="Body Text"/>
    <w:basedOn w:val="949"/>
    <w:next w:val="966"/>
    <w:uiPriority w:val="99"/>
    <w:qFormat/>
    <w:pPr>
      <w:spacing w:line="300" w:lineRule="auto"/>
    </w:pPr>
    <w:rPr>
      <w:rFonts w:eastAsia="微软简楷体"/>
      <w:sz w:val="30"/>
      <w:szCs w:val="20"/>
    </w:rPr>
  </w:style>
  <w:style w:type="paragraph" w:styleId="966" w:customStyle="1">
    <w:name w:val="一级条标题"/>
    <w:basedOn w:val="967"/>
    <w:next w:val="9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7" w:customStyle="1">
    <w:name w:val="章标题"/>
    <w:next w:val="9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8" w:customStyle="1">
    <w:name w:val="段"/>
    <w:basedOn w:val="949"/>
    <w:next w:val="949"/>
    <w:uiPriority w:val="0"/>
    <w:qFormat/>
    <w:pPr>
      <w:ind w:firstLine="200"/>
      <w:widowControl/>
    </w:pPr>
    <w:rPr>
      <w:rFonts w:hint="eastAsia" w:ascii="宋体"/>
      <w:szCs w:val="20"/>
    </w:rPr>
  </w:style>
  <w:style w:type="paragraph" w:styleId="969" w:customStyle="1">
    <w:name w:val="正文首行缩进 211"/>
    <w:basedOn w:val="962"/>
    <w:next w:val="963"/>
    <w:uiPriority w:val="0"/>
    <w:qFormat/>
    <w:pPr>
      <w:ind w:firstLine="420"/>
    </w:pPr>
    <w:rPr>
      <w:sz w:val="24"/>
    </w:rPr>
  </w:style>
  <w:style w:type="paragraph" w:styleId="970">
    <w:name w:val="toc 7"/>
    <w:basedOn w:val="949"/>
    <w:next w:val="949"/>
    <w:uiPriority w:val="39"/>
    <w:unhideWhenUsed/>
    <w:qFormat/>
    <w:pPr>
      <w:ind w:left="1701" w:right="0" w:firstLine="0"/>
      <w:spacing w:after="57"/>
    </w:pPr>
  </w:style>
  <w:style w:type="paragraph" w:styleId="971">
    <w:name w:val="Normal Indent"/>
    <w:basedOn w:val="949"/>
    <w:uiPriority w:val="0"/>
    <w:qFormat/>
    <w:pPr>
      <w:ind w:firstLine="420"/>
    </w:pPr>
  </w:style>
  <w:style w:type="paragraph" w:styleId="972">
    <w:name w:val="Caption"/>
    <w:basedOn w:val="949"/>
    <w:next w:val="94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73">
    <w:name w:val="annotation text"/>
    <w:basedOn w:val="949"/>
    <w:uiPriority w:val="99"/>
    <w:semiHidden/>
    <w:unhideWhenUsed/>
    <w:qFormat/>
    <w:pPr>
      <w:jc w:val="left"/>
    </w:pPr>
  </w:style>
  <w:style w:type="paragraph" w:styleId="974">
    <w:name w:val="Body Text Indent"/>
    <w:basedOn w:val="949"/>
    <w:uiPriority w:val="0"/>
    <w:qFormat/>
    <w:pPr>
      <w:ind w:left="420"/>
      <w:spacing w:after="120"/>
    </w:pPr>
    <w:rPr>
      <w:rFonts w:ascii="Calibri" w:hAnsi="Calibri"/>
    </w:rPr>
  </w:style>
  <w:style w:type="paragraph" w:styleId="975">
    <w:name w:val="Block Text"/>
    <w:basedOn w:val="949"/>
    <w:uiPriority w:val="99"/>
    <w:unhideWhenUsed/>
    <w:qFormat/>
    <w:pPr>
      <w:ind w:left="1440" w:right="1440"/>
      <w:spacing w:after="120"/>
    </w:pPr>
  </w:style>
  <w:style w:type="paragraph" w:styleId="976">
    <w:name w:val="toc 5"/>
    <w:basedOn w:val="949"/>
    <w:next w:val="949"/>
    <w:uiPriority w:val="39"/>
    <w:unhideWhenUsed/>
    <w:qFormat/>
    <w:pPr>
      <w:ind w:left="1134" w:right="0" w:firstLine="0"/>
      <w:spacing w:after="57"/>
    </w:pPr>
  </w:style>
  <w:style w:type="paragraph" w:styleId="977">
    <w:name w:val="toc 3"/>
    <w:basedOn w:val="949"/>
    <w:next w:val="949"/>
    <w:uiPriority w:val="39"/>
    <w:unhideWhenUsed/>
    <w:qFormat/>
    <w:pPr>
      <w:ind w:left="567" w:right="0" w:firstLine="0"/>
      <w:spacing w:after="57"/>
    </w:pPr>
  </w:style>
  <w:style w:type="paragraph" w:styleId="978">
    <w:name w:val="Plain Text"/>
    <w:basedOn w:val="949"/>
    <w:next w:val="949"/>
    <w:uiPriority w:val="0"/>
    <w:qFormat/>
    <w:rPr>
      <w:rFonts w:hint="eastAsia" w:ascii="宋体" w:hAnsi="Courier New" w:eastAsia="仿宋_GB2312"/>
      <w:sz w:val="30"/>
      <w:szCs w:val="20"/>
    </w:rPr>
  </w:style>
  <w:style w:type="paragraph" w:styleId="979">
    <w:name w:val="toc 8"/>
    <w:basedOn w:val="949"/>
    <w:next w:val="949"/>
    <w:uiPriority w:val="39"/>
    <w:unhideWhenUsed/>
    <w:qFormat/>
    <w:pPr>
      <w:ind w:left="1984" w:right="0" w:firstLine="0"/>
      <w:spacing w:after="57"/>
    </w:pPr>
  </w:style>
  <w:style w:type="paragraph" w:styleId="980">
    <w:name w:val="endnote text"/>
    <w:basedOn w:val="949"/>
    <w:link w:val="1161"/>
    <w:uiPriority w:val="99"/>
    <w:semiHidden/>
    <w:unhideWhenUsed/>
    <w:qFormat/>
    <w:pPr>
      <w:spacing w:after="0" w:line="240" w:lineRule="auto"/>
    </w:pPr>
    <w:rPr>
      <w:sz w:val="20"/>
    </w:rPr>
  </w:style>
  <w:style w:type="paragraph" w:styleId="981">
    <w:name w:val="Footer"/>
    <w:basedOn w:val="949"/>
    <w:link w:val="1034"/>
    <w:uiPriority w:val="99"/>
    <w:unhideWhenUsed/>
    <w:qFormat/>
    <w:pPr>
      <w:spacing w:after="0" w:line="240" w:lineRule="auto"/>
      <w:tabs>
        <w:tab w:val="center" w:pos="7143" w:leader="none"/>
        <w:tab w:val="right" w:pos="14287" w:leader="none"/>
      </w:tabs>
    </w:pPr>
  </w:style>
  <w:style w:type="paragraph" w:styleId="982">
    <w:name w:val="Header"/>
    <w:basedOn w:val="949"/>
    <w:link w:val="1032"/>
    <w:uiPriority w:val="99"/>
    <w:unhideWhenUsed/>
    <w:qFormat/>
    <w:pPr>
      <w:spacing w:after="0" w:line="240" w:lineRule="auto"/>
      <w:tabs>
        <w:tab w:val="center" w:pos="7143" w:leader="none"/>
        <w:tab w:val="right" w:pos="14287" w:leader="none"/>
      </w:tabs>
    </w:pPr>
  </w:style>
  <w:style w:type="paragraph" w:styleId="983">
    <w:name w:val="toc 1"/>
    <w:basedOn w:val="949"/>
    <w:next w:val="949"/>
    <w:uiPriority w:val="39"/>
    <w:unhideWhenUsed/>
    <w:qFormat/>
    <w:pPr>
      <w:ind w:left="0" w:right="0" w:firstLine="0"/>
      <w:spacing w:after="57"/>
    </w:pPr>
  </w:style>
  <w:style w:type="paragraph" w:styleId="984">
    <w:name w:val="toc 4"/>
    <w:basedOn w:val="949"/>
    <w:next w:val="949"/>
    <w:uiPriority w:val="39"/>
    <w:unhideWhenUsed/>
    <w:qFormat/>
    <w:pPr>
      <w:ind w:left="850" w:right="0" w:firstLine="0"/>
      <w:spacing w:after="57"/>
    </w:pPr>
  </w:style>
  <w:style w:type="paragraph" w:styleId="985">
    <w:name w:val="Subtitle"/>
    <w:basedOn w:val="949"/>
    <w:next w:val="949"/>
    <w:link w:val="1027"/>
    <w:uiPriority w:val="11"/>
    <w:qFormat/>
    <w:pPr>
      <w:spacing w:before="200" w:after="200"/>
    </w:pPr>
    <w:rPr>
      <w:sz w:val="24"/>
      <w:szCs w:val="24"/>
    </w:rPr>
  </w:style>
  <w:style w:type="paragraph" w:styleId="986">
    <w:name w:val="footnote text"/>
    <w:basedOn w:val="949"/>
    <w:link w:val="1160"/>
    <w:uiPriority w:val="99"/>
    <w:semiHidden/>
    <w:unhideWhenUsed/>
    <w:qFormat/>
    <w:pPr>
      <w:spacing w:after="40" w:line="240" w:lineRule="auto"/>
    </w:pPr>
    <w:rPr>
      <w:sz w:val="18"/>
    </w:rPr>
  </w:style>
  <w:style w:type="paragraph" w:styleId="987">
    <w:name w:val="toc 6"/>
    <w:basedOn w:val="949"/>
    <w:next w:val="949"/>
    <w:uiPriority w:val="39"/>
    <w:unhideWhenUsed/>
    <w:qFormat/>
    <w:pPr>
      <w:ind w:left="1417" w:right="0" w:firstLine="0"/>
      <w:spacing w:after="57"/>
    </w:pPr>
  </w:style>
  <w:style w:type="paragraph" w:styleId="988">
    <w:name w:val="table of figures"/>
    <w:basedOn w:val="949"/>
    <w:next w:val="949"/>
    <w:uiPriority w:val="99"/>
    <w:unhideWhenUsed/>
    <w:qFormat/>
    <w:pPr>
      <w:spacing w:after="0" w:afterAutospacing="0"/>
    </w:pPr>
  </w:style>
  <w:style w:type="paragraph" w:styleId="989">
    <w:name w:val="toc 2"/>
    <w:basedOn w:val="949"/>
    <w:next w:val="949"/>
    <w:uiPriority w:val="39"/>
    <w:unhideWhenUsed/>
    <w:qFormat/>
    <w:pPr>
      <w:ind w:left="283" w:right="0" w:firstLine="0"/>
      <w:spacing w:after="57"/>
    </w:pPr>
  </w:style>
  <w:style w:type="paragraph" w:styleId="990">
    <w:name w:val="toc 9"/>
    <w:basedOn w:val="949"/>
    <w:next w:val="949"/>
    <w:uiPriority w:val="39"/>
    <w:unhideWhenUsed/>
    <w:qFormat/>
    <w:pPr>
      <w:ind w:left="2268" w:right="0" w:firstLine="0"/>
      <w:spacing w:after="57"/>
    </w:pPr>
  </w:style>
  <w:style w:type="paragraph" w:styleId="991">
    <w:name w:val="Normal (Web)"/>
    <w:basedOn w:val="949"/>
    <w:uiPriority w:val="99"/>
    <w:semiHidden/>
    <w:unhideWhenUsed/>
    <w:qFormat/>
    <w:pPr>
      <w:ind w:left="0" w:right="0"/>
      <w:jc w:val="left"/>
      <w:spacing w:before="0" w:beforeAutospacing="1" w:after="0" w:afterAutospacing="1"/>
    </w:pPr>
    <w:rPr>
      <w:sz w:val="24"/>
      <w:lang w:val="en-US" w:eastAsia="zh-CN" w:bidi="ar"/>
    </w:rPr>
  </w:style>
  <w:style w:type="paragraph" w:styleId="992">
    <w:name w:val="Title"/>
    <w:basedOn w:val="949"/>
    <w:next w:val="949"/>
    <w:link w:val="1026"/>
    <w:uiPriority w:val="10"/>
    <w:qFormat/>
    <w:pPr>
      <w:contextualSpacing/>
      <w:spacing w:before="300" w:after="200"/>
    </w:pPr>
    <w:rPr>
      <w:sz w:val="48"/>
      <w:szCs w:val="48"/>
    </w:rPr>
  </w:style>
  <w:style w:type="paragraph" w:styleId="993">
    <w:name w:val="Body Text First Indent"/>
    <w:basedOn w:val="965"/>
    <w:uiPriority w:val="0"/>
    <w:qFormat/>
    <w:pPr>
      <w:ind w:firstLine="420"/>
    </w:pPr>
  </w:style>
  <w:style w:type="paragraph" w:styleId="994">
    <w:name w:val="Body Text First Indent 2"/>
    <w:basedOn w:val="974"/>
    <w:next w:val="949"/>
    <w:uiPriority w:val="0"/>
    <w:unhideWhenUsed/>
    <w:qFormat/>
    <w:pPr>
      <w:ind w:firstLine="420"/>
    </w:pPr>
  </w:style>
  <w:style w:type="table" w:styleId="995">
    <w:name w:val="Table Grid"/>
    <w:basedOn w:val="96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6">
    <w:name w:val="endnote reference"/>
    <w:basedOn w:val="959"/>
    <w:uiPriority w:val="99"/>
    <w:semiHidden/>
    <w:unhideWhenUsed/>
    <w:qFormat/>
    <w:rPr>
      <w:vertAlign w:val="superscript"/>
    </w:rPr>
  </w:style>
  <w:style w:type="character" w:styleId="997">
    <w:name w:val="Hyperlink"/>
    <w:uiPriority w:val="99"/>
    <w:unhideWhenUsed/>
    <w:qFormat/>
    <w:rPr>
      <w:color w:val="0563c1" w:themeColor="hyperlink"/>
      <w:u w:val="single"/>
      <w14:textFill>
        <w14:solidFill>
          <w14:schemeClr w14:val="hlink"/>
        </w14:solidFill>
      </w14:textFill>
    </w:rPr>
  </w:style>
  <w:style w:type="character" w:styleId="998">
    <w:name w:val="footnote reference"/>
    <w:basedOn w:val="959"/>
    <w:uiPriority w:val="99"/>
    <w:unhideWhenUsed/>
    <w:qFormat/>
    <w:rPr>
      <w:vertAlign w:val="superscript"/>
    </w:rPr>
  </w:style>
  <w:style w:type="paragraph" w:styleId="999" w:customStyle="1">
    <w:name w:val="正文缩进1"/>
    <w:basedOn w:val="949"/>
    <w:uiPriority w:val="0"/>
    <w:qFormat/>
    <w:pPr>
      <w:ind w:firstLine="420"/>
    </w:pPr>
  </w:style>
  <w:style w:type="paragraph" w:styleId="1000" w:customStyle="1">
    <w:name w:val="目录 11"/>
    <w:basedOn w:val="1001"/>
    <w:next w:val="1008"/>
    <w:uiPriority w:val="39"/>
    <w:unhideWhenUsed/>
    <w:qFormat/>
    <w:pPr>
      <w:jc w:val="left"/>
      <w:spacing w:after="100" w:line="259" w:lineRule="auto"/>
      <w:widowControl/>
    </w:pPr>
    <w:rPr>
      <w:rFonts w:ascii="Calibri" w:hAnsi="Calibri"/>
      <w:sz w:val="22"/>
      <w:szCs w:val="22"/>
    </w:rPr>
  </w:style>
  <w:style w:type="paragraph" w:styleId="1001" w:customStyle="1">
    <w:name w:val="正文11"/>
    <w:basedOn w:val="949"/>
    <w:next w:val="1002"/>
    <w:uiPriority w:val="0"/>
    <w:qFormat/>
  </w:style>
  <w:style w:type="paragraph" w:styleId="1002" w:customStyle="1">
    <w:name w:val="文本块1"/>
    <w:basedOn w:val="1003"/>
    <w:next w:val="1006"/>
    <w:uiPriority w:val="6"/>
    <w:qFormat/>
    <w:pPr>
      <w:ind w:left="256" w:right="6" w:firstLine="624"/>
    </w:pPr>
    <w:rPr>
      <w:rFonts w:eastAsia="仿宋"/>
      <w:sz w:val="28"/>
      <w:szCs w:val="20"/>
    </w:rPr>
  </w:style>
  <w:style w:type="paragraph" w:styleId="1003" w:customStyle="1">
    <w:name w:val="正文1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文本缩进1"/>
    <w:basedOn w:val="1001"/>
    <w:next w:val="1005"/>
    <w:uiPriority w:val="0"/>
    <w:qFormat/>
    <w:pPr>
      <w:ind w:left="420"/>
      <w:spacing w:after="120"/>
    </w:pPr>
  </w:style>
  <w:style w:type="paragraph" w:styleId="1005" w:customStyle="1">
    <w:name w:val="寄信人地址1"/>
    <w:basedOn w:val="949"/>
    <w:uiPriority w:val="0"/>
    <w:qFormat/>
    <w:rPr>
      <w:rFonts w:ascii="Arial" w:hAnsi="Arial"/>
    </w:rPr>
  </w:style>
  <w:style w:type="paragraph" w:styleId="1006" w:customStyle="1">
    <w:name w:val="标题 41"/>
    <w:basedOn w:val="1007"/>
    <w:next w:val="1001"/>
    <w:uiPriority w:val="0"/>
    <w:qFormat/>
    <w:pPr>
      <w:keepLines/>
      <w:keepNext/>
      <w:spacing w:before="280" w:after="290" w:line="372" w:lineRule="auto"/>
      <w:outlineLvl w:val="3"/>
    </w:pPr>
    <w:rPr>
      <w:rFonts w:ascii="Cambria" w:hAnsi="Cambria" w:eastAsia="宋体" w:cs="Times New Roman"/>
      <w:sz w:val="28"/>
      <w:szCs w:val="28"/>
    </w:rPr>
  </w:style>
  <w:style w:type="paragraph" w:styleId="1007" w:customStyle="1">
    <w:name w:val="标题1"/>
    <w:basedOn w:val="1003"/>
    <w:next w:val="963"/>
    <w:uiPriority w:val="0"/>
    <w:qFormat/>
    <w:pPr>
      <w:jc w:val="center"/>
      <w:spacing w:before="300" w:after="300"/>
      <w:outlineLvl w:val="0"/>
    </w:pPr>
    <w:rPr>
      <w:rFonts w:ascii="Cambria" w:hAnsi="Cambria" w:eastAsia="仿宋_GB2312"/>
      <w:b/>
      <w:bCs/>
      <w:sz w:val="36"/>
      <w:szCs w:val="32"/>
    </w:rPr>
  </w:style>
  <w:style w:type="paragraph" w:styleId="1008" w:customStyle="1">
    <w:name w:val="正文12"/>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脚注文本1"/>
    <w:basedOn w:val="1010"/>
    <w:next w:val="1011"/>
    <w:uiPriority w:val="0"/>
    <w:qFormat/>
    <w:pPr>
      <w:jc w:val="left"/>
      <w:spacing w:line="360" w:lineRule="atLeast"/>
    </w:pPr>
    <w:rPr>
      <w:rFonts w:ascii="宋体" w:eastAsia="Times New Roman"/>
      <w:sz w:val="18"/>
      <w:szCs w:val="18"/>
    </w:rPr>
  </w:style>
  <w:style w:type="paragraph" w:styleId="1010" w:customStyle="1">
    <w:name w:val="正文1"/>
    <w:basedOn w:val="1001"/>
    <w:next w:val="1000"/>
    <w:uiPriority w:val="0"/>
    <w:qFormat/>
    <w:pPr>
      <w:jc w:val="both"/>
      <w:widowControl w:val="off"/>
    </w:pPr>
    <w:rPr>
      <w:rFonts w:hint="default" w:ascii="Calibri" w:hAnsi="Calibri" w:eastAsia="宋体" w:cs="Times New Roman"/>
      <w:sz w:val="21"/>
      <w:szCs w:val="24"/>
      <w:lang w:val="en-US" w:eastAsia="zh-CN" w:bidi="ar-SA"/>
    </w:rPr>
  </w:style>
  <w:style w:type="paragraph" w:styleId="1011" w:customStyle="1">
    <w:name w:val="索引 51"/>
    <w:basedOn w:val="1010"/>
    <w:next w:val="1010"/>
    <w:uiPriority w:val="0"/>
    <w:qFormat/>
    <w:pPr>
      <w:ind w:left="798"/>
      <w:jc w:val="left"/>
      <w:spacing w:line="360" w:lineRule="atLeast"/>
    </w:pPr>
    <w:rPr>
      <w:sz w:val="24"/>
      <w:szCs w:val="20"/>
    </w:rPr>
  </w:style>
  <w:style w:type="paragraph" w:styleId="1012" w:customStyle="1">
    <w:name w:val="正文首行缩进11"/>
    <w:basedOn w:val="1013"/>
    <w:next w:val="969"/>
    <w:uiPriority w:val="0"/>
    <w:qFormat/>
    <w:pPr>
      <w:ind w:firstLine="420"/>
    </w:pPr>
    <w:rPr>
      <w:rFonts w:ascii="仿宋_GB2312" w:eastAsia="仿宋_GB2312"/>
      <w:sz w:val="30"/>
      <w:szCs w:val="30"/>
    </w:rPr>
  </w:style>
  <w:style w:type="paragraph" w:styleId="1013" w:customStyle="1">
    <w:name w:val="正文文本11"/>
    <w:basedOn w:val="1008"/>
    <w:next w:val="949"/>
    <w:uiPriority w:val="0"/>
    <w:qFormat/>
    <w:pPr>
      <w:spacing w:after="120"/>
    </w:pPr>
  </w:style>
  <w:style w:type="paragraph" w:styleId="1014" w:customStyle="1">
    <w:name w:val="寄信人地址11"/>
    <w:basedOn w:val="1001"/>
    <w:uiPriority w:val="0"/>
    <w:qFormat/>
    <w:rPr>
      <w:rFonts w:ascii="Arial" w:hAnsi="Arial"/>
    </w:rPr>
  </w:style>
  <w:style w:type="character" w:styleId="1015" w:customStyle="1">
    <w:name w:val="Heading 1 Char"/>
    <w:basedOn w:val="959"/>
    <w:link w:val="950"/>
    <w:uiPriority w:val="9"/>
    <w:qFormat/>
    <w:rPr>
      <w:rFonts w:ascii="Arial" w:hAnsi="Arial" w:eastAsia="Arial" w:cs="Arial"/>
      <w:sz w:val="40"/>
      <w:szCs w:val="40"/>
    </w:rPr>
  </w:style>
  <w:style w:type="character" w:styleId="1016" w:customStyle="1">
    <w:name w:val="Heading 2 Char"/>
    <w:basedOn w:val="959"/>
    <w:link w:val="951"/>
    <w:uiPriority w:val="9"/>
    <w:qFormat/>
    <w:rPr>
      <w:rFonts w:ascii="Arial" w:hAnsi="Arial" w:eastAsia="Arial" w:cs="Arial"/>
      <w:sz w:val="34"/>
    </w:rPr>
  </w:style>
  <w:style w:type="character" w:styleId="1017" w:customStyle="1">
    <w:name w:val="Heading 3 Char"/>
    <w:basedOn w:val="959"/>
    <w:link w:val="952"/>
    <w:uiPriority w:val="9"/>
    <w:qFormat/>
    <w:rPr>
      <w:rFonts w:ascii="Arial" w:hAnsi="Arial" w:eastAsia="Arial" w:cs="Arial"/>
      <w:sz w:val="30"/>
      <w:szCs w:val="30"/>
    </w:rPr>
  </w:style>
  <w:style w:type="character" w:styleId="1018" w:customStyle="1">
    <w:name w:val="Heading 4 Char"/>
    <w:basedOn w:val="959"/>
    <w:link w:val="953"/>
    <w:uiPriority w:val="9"/>
    <w:qFormat/>
    <w:rPr>
      <w:rFonts w:ascii="Arial" w:hAnsi="Arial" w:eastAsia="Arial" w:cs="Arial"/>
      <w:b/>
      <w:bCs/>
      <w:sz w:val="26"/>
      <w:szCs w:val="26"/>
    </w:rPr>
  </w:style>
  <w:style w:type="character" w:styleId="1019" w:customStyle="1">
    <w:name w:val="Heading 5 Char"/>
    <w:basedOn w:val="959"/>
    <w:link w:val="954"/>
    <w:uiPriority w:val="9"/>
    <w:qFormat/>
    <w:rPr>
      <w:rFonts w:ascii="Arial" w:hAnsi="Arial" w:eastAsia="Arial" w:cs="Arial"/>
      <w:b/>
      <w:bCs/>
      <w:sz w:val="24"/>
      <w:szCs w:val="24"/>
    </w:rPr>
  </w:style>
  <w:style w:type="character" w:styleId="1020" w:customStyle="1">
    <w:name w:val="Heading 6 Char"/>
    <w:basedOn w:val="959"/>
    <w:link w:val="955"/>
    <w:uiPriority w:val="9"/>
    <w:qFormat/>
    <w:rPr>
      <w:rFonts w:ascii="Arial" w:hAnsi="Arial" w:eastAsia="Arial" w:cs="Arial"/>
      <w:b/>
      <w:bCs/>
      <w:sz w:val="22"/>
      <w:szCs w:val="22"/>
    </w:rPr>
  </w:style>
  <w:style w:type="character" w:styleId="1021" w:customStyle="1">
    <w:name w:val="Heading 7 Char"/>
    <w:basedOn w:val="959"/>
    <w:link w:val="956"/>
    <w:uiPriority w:val="9"/>
    <w:qFormat/>
    <w:rPr>
      <w:rFonts w:ascii="Arial" w:hAnsi="Arial" w:eastAsia="Arial" w:cs="Arial"/>
      <w:b/>
      <w:bCs/>
      <w:i/>
      <w:iCs/>
      <w:sz w:val="22"/>
      <w:szCs w:val="22"/>
    </w:rPr>
  </w:style>
  <w:style w:type="character" w:styleId="1022" w:customStyle="1">
    <w:name w:val="Heading 8 Char"/>
    <w:basedOn w:val="959"/>
    <w:link w:val="957"/>
    <w:uiPriority w:val="9"/>
    <w:qFormat/>
    <w:rPr>
      <w:rFonts w:ascii="Arial" w:hAnsi="Arial" w:eastAsia="Arial" w:cs="Arial"/>
      <w:i/>
      <w:iCs/>
      <w:sz w:val="22"/>
      <w:szCs w:val="22"/>
    </w:rPr>
  </w:style>
  <w:style w:type="character" w:styleId="1023" w:customStyle="1">
    <w:name w:val="Heading 9 Char"/>
    <w:basedOn w:val="959"/>
    <w:link w:val="958"/>
    <w:uiPriority w:val="9"/>
    <w:qFormat/>
    <w:rPr>
      <w:rFonts w:ascii="Arial" w:hAnsi="Arial" w:eastAsia="Arial" w:cs="Arial"/>
      <w:i/>
      <w:iCs/>
      <w:sz w:val="21"/>
      <w:szCs w:val="21"/>
    </w:rPr>
  </w:style>
  <w:style w:type="paragraph" w:styleId="1024">
    <w:name w:val="List Paragraph"/>
    <w:basedOn w:val="949"/>
    <w:uiPriority w:val="34"/>
    <w:qFormat/>
    <w:pPr>
      <w:contextualSpacing/>
      <w:ind w:left="720"/>
    </w:pPr>
  </w:style>
  <w:style w:type="paragraph" w:styleId="1025">
    <w:name w:val="No Spacing"/>
    <w:uiPriority w:val="1"/>
    <w:qFormat/>
    <w:pPr>
      <w:spacing w:before="0" w:after="0" w:line="240" w:lineRule="auto"/>
    </w:pPr>
    <w:rPr>
      <w:rFonts w:hint="default" w:asciiTheme="minorHAnsi" w:hAnsiTheme="minorHAnsi" w:eastAsiaTheme="minorEastAsia" w:cstheme="minorBidi"/>
    </w:rPr>
  </w:style>
  <w:style w:type="character" w:styleId="1026" w:customStyle="1">
    <w:name w:val="Title Char"/>
    <w:basedOn w:val="959"/>
    <w:link w:val="992"/>
    <w:uiPriority w:val="10"/>
    <w:qFormat/>
    <w:rPr>
      <w:sz w:val="48"/>
      <w:szCs w:val="48"/>
    </w:rPr>
  </w:style>
  <w:style w:type="character" w:styleId="1027" w:customStyle="1">
    <w:name w:val="Subtitle Char"/>
    <w:basedOn w:val="959"/>
    <w:link w:val="985"/>
    <w:uiPriority w:val="11"/>
    <w:qFormat/>
    <w:rPr>
      <w:sz w:val="24"/>
      <w:szCs w:val="24"/>
    </w:rPr>
  </w:style>
  <w:style w:type="paragraph" w:styleId="1028">
    <w:name w:val="Quote"/>
    <w:basedOn w:val="949"/>
    <w:next w:val="949"/>
    <w:link w:val="1029"/>
    <w:uiPriority w:val="29"/>
    <w:qFormat/>
    <w:pPr>
      <w:ind w:left="720" w:right="720"/>
    </w:pPr>
    <w:rPr>
      <w:i/>
    </w:rPr>
  </w:style>
  <w:style w:type="character" w:styleId="1029" w:customStyle="1">
    <w:name w:val="Quote Char"/>
    <w:link w:val="1028"/>
    <w:uiPriority w:val="29"/>
    <w:qFormat/>
    <w:rPr>
      <w:i/>
    </w:rPr>
  </w:style>
  <w:style w:type="paragraph" w:styleId="1030">
    <w:name w:val="Intense Quote"/>
    <w:basedOn w:val="949"/>
    <w:next w:val="949"/>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Intense Quote Char"/>
    <w:link w:val="1030"/>
    <w:uiPriority w:val="30"/>
    <w:qFormat/>
    <w:rPr>
      <w:i/>
    </w:rPr>
  </w:style>
  <w:style w:type="character" w:styleId="1032" w:customStyle="1">
    <w:name w:val="Header Char"/>
    <w:basedOn w:val="959"/>
    <w:link w:val="982"/>
    <w:uiPriority w:val="99"/>
    <w:qFormat/>
  </w:style>
  <w:style w:type="character" w:styleId="1033" w:customStyle="1">
    <w:name w:val="Footer Char"/>
    <w:basedOn w:val="959"/>
    <w:link w:val="981"/>
    <w:uiPriority w:val="99"/>
    <w:qFormat/>
  </w:style>
  <w:style w:type="character" w:styleId="1034" w:customStyle="1">
    <w:name w:val="Caption Char"/>
    <w:link w:val="981"/>
    <w:uiPriority w:val="99"/>
    <w:qFormat/>
  </w:style>
  <w:style w:type="table" w:styleId="1035" w:customStyle="1">
    <w:name w:val="Table Grid Light"/>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6" w:customStyle="1">
    <w:name w:val="Plain Table 1"/>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Plain Table 2"/>
    <w:basedOn w:val="9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3"/>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Plain Table 4"/>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Plain Table 5"/>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Grid Table 1 Light"/>
    <w:basedOn w:val="9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1"/>
    <w:basedOn w:val="9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2"/>
    <w:basedOn w:val="9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3"/>
    <w:basedOn w:val="9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4"/>
    <w:basedOn w:val="9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5"/>
    <w:basedOn w:val="9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6"/>
    <w:basedOn w:val="9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48" w:customStyle="1">
    <w:name w:val="Grid Table 2"/>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9" w:customStyle="1">
    <w:name w:val="Grid Table 2 - Accent 1"/>
    <w:basedOn w:val="9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50" w:customStyle="1">
    <w:name w:val="Grid Table 2 - Accent 2"/>
    <w:basedOn w:val="9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51" w:customStyle="1">
    <w:name w:val="Grid Table 2 - Accent 3"/>
    <w:basedOn w:val="9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52" w:customStyle="1">
    <w:name w:val="Grid Table 2 - Accent 4"/>
    <w:basedOn w:val="9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53" w:customStyle="1">
    <w:name w:val="Grid Table 2 - Accent 5"/>
    <w:basedOn w:val="9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54" w:customStyle="1">
    <w:name w:val="Grid Table 2 - Accent 6"/>
    <w:basedOn w:val="9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55" w:customStyle="1">
    <w:name w:val="Grid Table 3"/>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1"/>
    <w:basedOn w:val="96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2"/>
    <w:basedOn w:val="96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3"/>
    <w:basedOn w:val="96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4"/>
    <w:basedOn w:val="96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5"/>
    <w:basedOn w:val="96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6"/>
    <w:basedOn w:val="96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4"/>
    <w:basedOn w:val="9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Grid Table 4 - Accent 1"/>
    <w:basedOn w:val="96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64" w:customStyle="1">
    <w:name w:val="Grid Table 4 - Accent 2"/>
    <w:basedOn w:val="96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65" w:customStyle="1">
    <w:name w:val="Grid Table 4 - Accent 3"/>
    <w:basedOn w:val="96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66" w:customStyle="1">
    <w:name w:val="Grid Table 4 - Accent 4"/>
    <w:basedOn w:val="96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67" w:customStyle="1">
    <w:name w:val="Grid Table 4 - Accent 5"/>
    <w:basedOn w:val="96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68" w:customStyle="1">
    <w:name w:val="Grid Table 4 - Accent 6"/>
    <w:basedOn w:val="96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69" w:customStyle="1">
    <w:name w:val="Grid Table 5 Dark"/>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Grid Table 5 Dark- Accent 1"/>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71" w:customStyle="1">
    <w:name w:val="Grid Table 5 Dark - Accent 2"/>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72" w:customStyle="1">
    <w:name w:val="Grid Table 5 Dark - Accent 3"/>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73" w:customStyle="1">
    <w:name w:val="Grid Table 5 Dark- Accent 4"/>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74" w:customStyle="1">
    <w:name w:val="Grid Table 5 Dark - Accent 5"/>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75" w:customStyle="1">
    <w:name w:val="Grid Table 5 Dark - Accent 6"/>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76" w:customStyle="1">
    <w:name w:val="Grid Table 6 Colorful"/>
    <w:basedOn w:val="9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Grid Table 6 Colorful - Accent 1"/>
    <w:basedOn w:val="96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78" w:customStyle="1">
    <w:name w:val="Grid Table 6 Colorful - Accent 2"/>
    <w:basedOn w:val="9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79" w:customStyle="1">
    <w:name w:val="Grid Table 6 Colorful - Accent 3"/>
    <w:basedOn w:val="96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80" w:customStyle="1">
    <w:name w:val="Grid Table 6 Colorful - Accent 4"/>
    <w:basedOn w:val="9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81" w:customStyle="1">
    <w:name w:val="Grid Table 6 Colorful - Accent 5"/>
    <w:basedOn w:val="96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82" w:customStyle="1">
    <w:name w:val="Grid Table 6 Colorful - Accent 6"/>
    <w:basedOn w:val="96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83" w:customStyle="1">
    <w:name w:val="Grid Table 7 Colorful"/>
    <w:basedOn w:val="9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Grid Table 7 Colorful - Accent 1"/>
    <w:basedOn w:val="96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85" w:customStyle="1">
    <w:name w:val="Grid Table 7 Colorful - Accent 2"/>
    <w:basedOn w:val="96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6" w:customStyle="1">
    <w:name w:val="Grid Table 7 Colorful - Accent 3"/>
    <w:basedOn w:val="96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87" w:customStyle="1">
    <w:name w:val="Grid Table 7 Colorful - Accent 4"/>
    <w:basedOn w:val="96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8" w:customStyle="1">
    <w:name w:val="Grid Table 7 Colorful - Accent 5"/>
    <w:basedOn w:val="96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89" w:customStyle="1">
    <w:name w:val="Grid Table 7 Colorful - Accent 6"/>
    <w:basedOn w:val="96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90" w:customStyle="1">
    <w:name w:val="List Table 1 Light"/>
    <w:basedOn w:val="9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customStyle="1">
    <w:name w:val="List Table 1 Light - Accent 1"/>
    <w:basedOn w:val="96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basedOn w:val="96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basedOn w:val="96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basedOn w:val="96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basedOn w:val="96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basedOn w:val="96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97" w:customStyle="1">
    <w:name w:val="List Table 2"/>
    <w:basedOn w:val="9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8" w:customStyle="1">
    <w:name w:val="List Table 2 - Accent 1"/>
    <w:basedOn w:val="96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99" w:customStyle="1">
    <w:name w:val="List Table 2 - Accent 2"/>
    <w:basedOn w:val="96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00" w:customStyle="1">
    <w:name w:val="List Table 2 - Accent 3"/>
    <w:basedOn w:val="96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01" w:customStyle="1">
    <w:name w:val="List Table 2 - Accent 4"/>
    <w:basedOn w:val="96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02" w:customStyle="1">
    <w:name w:val="List Table 2 - Accent 5"/>
    <w:basedOn w:val="96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03" w:customStyle="1">
    <w:name w:val="List Table 2 - Accent 6"/>
    <w:basedOn w:val="96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04" w:customStyle="1">
    <w:name w:val="List Table 3"/>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3 - Accent 1"/>
    <w:basedOn w:val="96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06" w:customStyle="1">
    <w:name w:val="List Table 3 - Accent 2"/>
    <w:basedOn w:val="96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07" w:customStyle="1">
    <w:name w:val="List Table 3 - Accent 3"/>
    <w:basedOn w:val="96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08" w:customStyle="1">
    <w:name w:val="List Table 3 - Accent 4"/>
    <w:basedOn w:val="96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09" w:customStyle="1">
    <w:name w:val="List Table 3 - Accent 5"/>
    <w:basedOn w:val="96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10" w:customStyle="1">
    <w:name w:val="List Table 3 - Accent 6"/>
    <w:basedOn w:val="96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11" w:customStyle="1">
    <w:name w:val="List Table 4"/>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List Table 4 - Accent 1"/>
    <w:basedOn w:val="96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13" w:customStyle="1">
    <w:name w:val="List Table 4 - Accent 2"/>
    <w:basedOn w:val="96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14" w:customStyle="1">
    <w:name w:val="List Table 4 - Accent 3"/>
    <w:basedOn w:val="96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15" w:customStyle="1">
    <w:name w:val="List Table 4 - Accent 4"/>
    <w:basedOn w:val="96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16" w:customStyle="1">
    <w:name w:val="List Table 4 - Accent 5"/>
    <w:basedOn w:val="96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17" w:customStyle="1">
    <w:name w:val="List Table 4 - Accent 6"/>
    <w:basedOn w:val="96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18" w:customStyle="1">
    <w:name w:val="List Table 5 Dark"/>
    <w:basedOn w:val="9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1"/>
    <w:basedOn w:val="96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2"/>
    <w:basedOn w:val="96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3"/>
    <w:basedOn w:val="96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4"/>
    <w:basedOn w:val="96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5"/>
    <w:basedOn w:val="96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6"/>
    <w:basedOn w:val="96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6 Colorful"/>
    <w:basedOn w:val="9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6 Colorful - Accent 1"/>
    <w:basedOn w:val="96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27" w:customStyle="1">
    <w:name w:val="List Table 6 Colorful - Accent 2"/>
    <w:basedOn w:val="96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28" w:customStyle="1">
    <w:name w:val="List Table 6 Colorful - Accent 3"/>
    <w:basedOn w:val="96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29" w:customStyle="1">
    <w:name w:val="List Table 6 Colorful - Accent 4"/>
    <w:basedOn w:val="96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30" w:customStyle="1">
    <w:name w:val="List Table 6 Colorful - Accent 5"/>
    <w:basedOn w:val="96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31" w:customStyle="1">
    <w:name w:val="List Table 6 Colorful - Accent 6"/>
    <w:basedOn w:val="96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32" w:customStyle="1">
    <w:name w:val="List Table 7 Colorful"/>
    <w:basedOn w:val="9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3" w:customStyle="1">
    <w:name w:val="List Table 7 Colorful - Accent 1"/>
    <w:basedOn w:val="96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34" w:customStyle="1">
    <w:name w:val="List Table 7 Colorful - Accent 2"/>
    <w:basedOn w:val="96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35" w:customStyle="1">
    <w:name w:val="List Table 7 Colorful - Accent 3"/>
    <w:basedOn w:val="96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36" w:customStyle="1">
    <w:name w:val="List Table 7 Colorful - Accent 4"/>
    <w:basedOn w:val="96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37" w:customStyle="1">
    <w:name w:val="List Table 7 Colorful - Accent 5"/>
    <w:basedOn w:val="96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38" w:customStyle="1">
    <w:name w:val="List Table 7 Colorful - Accent 6"/>
    <w:basedOn w:val="96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39" w:customStyle="1">
    <w:name w:val="Lined - Accent"/>
    <w:basedOn w:val="9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Lined - Accent 1"/>
    <w:basedOn w:val="9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41" w:customStyle="1">
    <w:name w:val="Lined - Accent 2"/>
    <w:basedOn w:val="9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42" w:customStyle="1">
    <w:name w:val="Lined - Accent 3"/>
    <w:basedOn w:val="9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43" w:customStyle="1">
    <w:name w:val="Lined - Accent 4"/>
    <w:basedOn w:val="9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44" w:customStyle="1">
    <w:name w:val="Lined - Accent 5"/>
    <w:basedOn w:val="9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45" w:customStyle="1">
    <w:name w:val="Lined - Accent 6"/>
    <w:basedOn w:val="9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46" w:customStyle="1">
    <w:name w:val="Bordered &amp; Lined - Accent"/>
    <w:basedOn w:val="9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7" w:customStyle="1">
    <w:name w:val="Bordered &amp; Lined - Accent 1"/>
    <w:basedOn w:val="96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48" w:customStyle="1">
    <w:name w:val="Bordered &amp; Lined - Accent 2"/>
    <w:basedOn w:val="96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49" w:customStyle="1">
    <w:name w:val="Bordered &amp; Lined - Accent 3"/>
    <w:basedOn w:val="96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50" w:customStyle="1">
    <w:name w:val="Bordered &amp; Lined - Accent 4"/>
    <w:basedOn w:val="96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51" w:customStyle="1">
    <w:name w:val="Bordered &amp; Lined - Accent 5"/>
    <w:basedOn w:val="96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52" w:customStyle="1">
    <w:name w:val="Bordered &amp; Lined - Accent 6"/>
    <w:basedOn w:val="96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53" w:customStyle="1">
    <w:name w:val="Bordered"/>
    <w:basedOn w:val="9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4" w:customStyle="1">
    <w:name w:val="Bordered - Accent 1"/>
    <w:basedOn w:val="96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55" w:customStyle="1">
    <w:name w:val="Bordered - Accent 2"/>
    <w:basedOn w:val="96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56" w:customStyle="1">
    <w:name w:val="Bordered - Accent 3"/>
    <w:basedOn w:val="96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57" w:customStyle="1">
    <w:name w:val="Bordered - Accent 4"/>
    <w:basedOn w:val="96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58" w:customStyle="1">
    <w:name w:val="Bordered - Accent 5"/>
    <w:basedOn w:val="96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59" w:customStyle="1">
    <w:name w:val="Bordered - Accent 6"/>
    <w:basedOn w:val="96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60" w:customStyle="1">
    <w:name w:val="Footnote Text Char"/>
    <w:link w:val="986"/>
    <w:uiPriority w:val="99"/>
    <w:qFormat/>
    <w:rPr>
      <w:sz w:val="18"/>
    </w:rPr>
  </w:style>
  <w:style w:type="character" w:styleId="1161" w:customStyle="1">
    <w:name w:val="Endnote Text Char"/>
    <w:link w:val="980"/>
    <w:uiPriority w:val="99"/>
    <w:qFormat/>
    <w:rPr>
      <w:sz w:val="20"/>
    </w:rPr>
  </w:style>
  <w:style w:type="paragraph" w:styleId="1162" w:customStyle="1">
    <w:name w:val="TOC Heading"/>
    <w:uiPriority w:val="39"/>
    <w:unhideWhenUsed/>
    <w:qFormat/>
    <w:rPr>
      <w:rFonts w:hint="default" w:asciiTheme="minorHAnsi" w:hAnsiTheme="minorHAnsi" w:eastAsiaTheme="minorEastAsia" w:cstheme="minorBidi"/>
    </w:rPr>
  </w:style>
  <w:style w:type="paragraph" w:styleId="1163" w:customStyle="1">
    <w:name w:val="正文文本1"/>
    <w:basedOn w:val="1010"/>
    <w:next w:val="1001"/>
    <w:uiPriority w:val="0"/>
    <w:qFormat/>
    <w:pPr>
      <w:spacing w:after="120"/>
    </w:pPr>
    <w:rPr>
      <w:lang w:val="en-US" w:eastAsia="en-US"/>
    </w:rPr>
  </w:style>
  <w:style w:type="paragraph" w:styleId="1164" w:customStyle="1">
    <w:name w:val="标题 21"/>
    <w:basedOn w:val="1008"/>
    <w:next w:val="100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165" w:customStyle="1">
    <w:name w:val="彩色列表 - 着色 11"/>
    <w:basedOn w:val="949"/>
    <w:uiPriority w:val="0"/>
    <w:qFormat/>
    <w:pPr>
      <w:ind w:firstLine="420"/>
    </w:pPr>
    <w:rPr>
      <w:rFonts w:ascii="Times New Roman" w:hAnsi="Times New Roman" w:eastAsia="宋体" w:cs="Times New Roman"/>
      <w:sz w:val="20"/>
    </w:rPr>
  </w:style>
  <w:style w:type="paragraph" w:styleId="1166" w:customStyle="1">
    <w:name w:val="普通(网站)1"/>
    <w:basedOn w:val="949"/>
    <w:uiPriority w:val="99"/>
    <w:qFormat/>
    <w:pPr>
      <w:jc w:val="left"/>
      <w:spacing w:before="100" w:beforeAutospacing="1" w:after="100" w:afterAutospacing="1"/>
      <w:widowControl/>
    </w:pPr>
    <w:rPr>
      <w:rFonts w:ascii="宋体" w:hAnsi="宋体" w:cs="宋体"/>
      <w:sz w:val="24"/>
    </w:rPr>
  </w:style>
  <w:style w:type="paragraph" w:styleId="1167" w:customStyle="1">
    <w:name w:val="纯文本1"/>
    <w:basedOn w:val="1001"/>
    <w:uiPriority w:val="0"/>
    <w:qFormat/>
    <w:rPr>
      <w:rFonts w:ascii="宋体" w:hAnsi="Courier New"/>
      <w:szCs w:val="21"/>
    </w:rPr>
  </w:style>
  <w:style w:type="paragraph" w:styleId="116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_Style 2"/>
    <w:basedOn w:val="1170"/>
    <w:next w:val="949"/>
    <w:uiPriority w:val="0"/>
    <w:qFormat/>
    <w:pPr>
      <w:jc w:val="both"/>
      <w:keepLines/>
      <w:spacing w:before="340" w:after="330" w:line="576" w:lineRule="auto"/>
      <w:outlineLvl w:val="9"/>
    </w:pPr>
    <w:rPr>
      <w:rFonts w:ascii="Times New Roman" w:hAnsi="Times New Roman"/>
      <w:sz w:val="44"/>
      <w:szCs w:val="44"/>
    </w:rPr>
  </w:style>
  <w:style w:type="paragraph" w:styleId="1170" w:customStyle="1">
    <w:name w:val="标题 11"/>
    <w:basedOn w:val="949"/>
    <w:next w:val="949"/>
    <w:uiPriority w:val="0"/>
    <w:qFormat/>
    <w:pPr>
      <w:jc w:val="center"/>
      <w:keepLines/>
      <w:keepNext/>
      <w:spacing w:before="340" w:after="330" w:line="578" w:lineRule="auto"/>
      <w:outlineLvl w:val="0"/>
    </w:pPr>
    <w:rPr>
      <w:b/>
      <w:bCs/>
      <w:sz w:val="44"/>
      <w:szCs w:val="44"/>
    </w:rPr>
  </w:style>
  <w:style w:type="paragraph" w:styleId="1171" w:customStyle="1">
    <w:name w:val="标题 31"/>
    <w:basedOn w:val="949"/>
    <w:next w:val="949"/>
    <w:uiPriority w:val="0"/>
    <w:qFormat/>
    <w:pPr>
      <w:keepLines/>
      <w:keepNext/>
      <w:spacing w:before="260" w:after="260" w:line="416" w:lineRule="auto"/>
      <w:outlineLvl w:val="2"/>
    </w:pPr>
    <w:rPr>
      <w:b/>
      <w:bCs/>
      <w:sz w:val="32"/>
      <w:szCs w:val="32"/>
    </w:rPr>
  </w:style>
  <w:style w:type="paragraph" w:styleId="1172" w:customStyle="1">
    <w:name w:val="页脚1"/>
    <w:basedOn w:val="949"/>
    <w:uiPriority w:val="0"/>
    <w:qFormat/>
    <w:pPr>
      <w:jc w:val="left"/>
      <w:tabs>
        <w:tab w:val="center" w:pos="4153" w:leader="none"/>
        <w:tab w:val="right" w:pos="8306" w:leader="none"/>
      </w:tabs>
    </w:pPr>
    <w:rPr>
      <w:sz w:val="18"/>
      <w:szCs w:val="18"/>
    </w:rPr>
  </w:style>
  <w:style w:type="paragraph" w:styleId="1173"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character" w:styleId="1174" w:customStyle="1">
    <w:name w:val="页码1"/>
    <w:basedOn w:val="1175"/>
    <w:link w:val="949"/>
    <w:uiPriority w:val="0"/>
    <w:qFormat/>
    <w:rPr>
      <w:rFonts w:hint="default" w:ascii="Calibri" w:hAnsi="Calibri" w:eastAsia="宋体" w:cs="Times New Roman"/>
      <w:sz w:val="21"/>
      <w:szCs w:val="24"/>
      <w:lang w:val="en-US" w:eastAsia="zh-CN" w:bidi="ar-SA"/>
    </w:rPr>
  </w:style>
  <w:style w:type="character" w:styleId="1175" w:customStyle="1">
    <w:name w:val="默认段落字体1"/>
    <w:link w:val="949"/>
    <w:uiPriority w:val="0"/>
    <w:semiHidden/>
    <w:qFormat/>
  </w:style>
  <w:style w:type="character" w:styleId="1176" w:customStyle="1">
    <w:name w:val="NormalCharacter1"/>
    <w:link w:val="949"/>
    <w:uiPriority w:val="0"/>
    <w:semiHidden/>
    <w:qFormat/>
    <w:rPr>
      <w:sz w:val="21"/>
      <w:szCs w:val="24"/>
      <w:lang w:val="en-US" w:eastAsia="zh-CN" w:bidi="ar-SA"/>
    </w:rPr>
  </w:style>
  <w:style w:type="paragraph" w:styleId="1177" w:customStyle="1">
    <w:name w:val="Default"/>
    <w:next w:val="949"/>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178" w:customStyle="1">
    <w:name w:val="BlockQuote"/>
    <w:basedOn w:val="1003"/>
    <w:uiPriority w:val="0"/>
    <w:qFormat/>
    <w:pPr>
      <w:ind w:left="256" w:right="6" w:firstLine="624"/>
    </w:pPr>
    <w:rPr>
      <w:rFonts w:eastAsia="仿宋_GB2312"/>
      <w:sz w:val="28"/>
    </w:rPr>
  </w:style>
  <w:style w:type="paragraph" w:styleId="1179" w:customStyle="1">
    <w:name w:val="列出段落11"/>
    <w:basedOn w:val="1003"/>
    <w:uiPriority w:val="0"/>
    <w:qFormat/>
    <w:pPr>
      <w:ind w:firstLine="420"/>
    </w:pPr>
  </w:style>
  <w:style w:type="paragraph" w:styleId="1180" w:customStyle="1">
    <w:name w:val="正文1111"/>
    <w:next w:val="11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文本块2"/>
    <w:basedOn w:val="1180"/>
    <w:uiPriority w:val="0"/>
    <w:qFormat/>
    <w:pPr>
      <w:ind w:left="420" w:right="33"/>
      <w:jc w:val="left"/>
    </w:pPr>
    <w:rPr>
      <w:sz w:val="24"/>
      <w:szCs w:val="20"/>
    </w:rPr>
  </w:style>
  <w:style w:type="paragraph" w:styleId="1182" w:customStyle="1">
    <w:name w:val="Char Char Char Char1"/>
    <w:basedOn w:val="949"/>
    <w:next w:val="949"/>
    <w:uiPriority w:val="99"/>
    <w:qFormat/>
    <w:pPr>
      <w:ind w:left="2210" w:hanging="748"/>
      <w:jc w:val="center"/>
      <w:spacing w:line="360" w:lineRule="auto"/>
      <w:tabs>
        <w:tab w:val="left" w:pos="845" w:leader="none"/>
      </w:tabs>
    </w:pPr>
    <w:rPr>
      <w:szCs w:val="24"/>
    </w:rPr>
  </w:style>
  <w:style w:type="character" w:styleId="1183" w:customStyle="1">
    <w:name w:val="NormalCharacter"/>
    <w:uiPriority w:val="0"/>
    <w:semiHidden/>
    <w:qFormat/>
    <w:rPr>
      <w:sz w:val="28"/>
      <w:lang w:val="en-US" w:eastAsia="zh-CN" w:bidi="ar-SA"/>
    </w:rPr>
  </w:style>
  <w:style w:type="paragraph" w:styleId="1184" w:customStyle="1">
    <w:name w:val="洼地表内文字"/>
    <w:uiPriority w:val="0"/>
    <w:qFormat/>
    <w:pPr>
      <w:jc w:val="center"/>
    </w:pPr>
    <w:rPr>
      <w:rFonts w:ascii="Times New Roman" w:hAnsi="Times New Roman" w:eastAsia="黑体" w:cs="仿宋"/>
      <w:sz w:val="18"/>
      <w:szCs w:val="18"/>
      <w:lang w:val="en-US" w:eastAsia="zh-CN" w:bidi="ar-SA"/>
    </w:rPr>
  </w:style>
  <w:style w:type="numbering" w:styleId="1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温乔乔</cp:lastModifiedBy>
  <cp:revision>23</cp:revision>
  <dcterms:created xsi:type="dcterms:W3CDTF">2023-11-22T14:28:00Z</dcterms:created>
  <dcterms:modified xsi:type="dcterms:W3CDTF">2025-10-28T09:30:16Z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F0DA1A6838564F89ABBC05224E2576F2_13</vt:lpwstr>
  </property>
  <property fmtid="{D5CDD505-2E9C-101B-9397-08002B2CF9AE}" pid="4" name="KSOTemplateDocerSaveRecord">
    <vt:lpwstr>eyJoZGlkIjoiMWYzY2YyOWNlNzFmNzAwMTg3MDgxZThlYmJkYzhlNDYiLCJ1c2VySWQiOiIxMTQwNTc1MTUwIn0=</vt:lpwstr>
  </property>
</Properties>
</file>